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74E23" w14:textId="77777777" w:rsidR="003358FB" w:rsidRPr="005D3AB8" w:rsidRDefault="003358FB" w:rsidP="003358FB">
      <w:pPr>
        <w:pStyle w:val="NoSpacing"/>
        <w:ind w:left="3600" w:firstLine="720"/>
        <w:jc w:val="right"/>
        <w:rPr>
          <w:b/>
        </w:rPr>
      </w:pPr>
      <w:r w:rsidRPr="005D3AB8">
        <w:rPr>
          <w:b/>
          <w:noProof/>
          <w:lang w:eastAsia="en-ZA"/>
        </w:rPr>
        <w:drawing>
          <wp:anchor distT="0" distB="0" distL="114300" distR="114300" simplePos="0" relativeHeight="251659264" behindDoc="1" locked="0" layoutInCell="1" allowOverlap="1" wp14:anchorId="2607FE55" wp14:editId="1BB4D78D">
            <wp:simplePos x="0" y="0"/>
            <wp:positionH relativeFrom="margin">
              <wp:posOffset>-142875</wp:posOffset>
            </wp:positionH>
            <wp:positionV relativeFrom="paragraph">
              <wp:posOffset>0</wp:posOffset>
            </wp:positionV>
            <wp:extent cx="1847850" cy="2562352"/>
            <wp:effectExtent l="0" t="0" r="0" b="9525"/>
            <wp:wrapTight wrapText="bothSides">
              <wp:wrapPolygon edited="0">
                <wp:start x="0" y="0"/>
                <wp:lineTo x="0" y="21520"/>
                <wp:lineTo x="21377" y="21520"/>
                <wp:lineTo x="213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n res and rates assc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47850" cy="2562352"/>
                    </a:xfrm>
                    <a:prstGeom prst="rect">
                      <a:avLst/>
                    </a:prstGeom>
                  </pic:spPr>
                </pic:pic>
              </a:graphicData>
            </a:graphic>
            <wp14:sizeRelH relativeFrom="page">
              <wp14:pctWidth>0</wp14:pctWidth>
            </wp14:sizeRelH>
            <wp14:sizeRelV relativeFrom="page">
              <wp14:pctHeight>0</wp14:pctHeight>
            </wp14:sizeRelV>
          </wp:anchor>
        </w:drawing>
      </w:r>
      <w:r w:rsidRPr="005D3AB8">
        <w:rPr>
          <w:b/>
        </w:rPr>
        <w:t>Kensington Residents and Ratepayers Association</w:t>
      </w:r>
    </w:p>
    <w:p w14:paraId="21CD5934" w14:textId="77777777" w:rsidR="003358FB" w:rsidRPr="005D3AB8" w:rsidRDefault="003358FB" w:rsidP="003358FB">
      <w:pPr>
        <w:pStyle w:val="NoSpacing"/>
        <w:ind w:left="4320"/>
        <w:jc w:val="right"/>
        <w:rPr>
          <w:b/>
        </w:rPr>
      </w:pPr>
      <w:r w:rsidRPr="005D3AB8">
        <w:rPr>
          <w:b/>
        </w:rPr>
        <w:t>64 Highlands Road</w:t>
      </w:r>
    </w:p>
    <w:p w14:paraId="5DE3D41D" w14:textId="77777777" w:rsidR="003358FB" w:rsidRPr="005D3AB8" w:rsidRDefault="003358FB" w:rsidP="003358FB">
      <w:pPr>
        <w:pStyle w:val="NoSpacing"/>
        <w:ind w:left="4320"/>
        <w:jc w:val="right"/>
        <w:rPr>
          <w:b/>
        </w:rPr>
      </w:pPr>
      <w:r w:rsidRPr="005D3AB8">
        <w:rPr>
          <w:b/>
        </w:rPr>
        <w:t>Kensington</w:t>
      </w:r>
    </w:p>
    <w:p w14:paraId="084D4D88" w14:textId="21A0EA91" w:rsidR="003358FB" w:rsidRDefault="003358FB" w:rsidP="003358FB">
      <w:pPr>
        <w:pStyle w:val="NoSpacing"/>
        <w:ind w:left="4320"/>
        <w:jc w:val="right"/>
        <w:rPr>
          <w:b/>
        </w:rPr>
      </w:pPr>
      <w:r w:rsidRPr="005D3AB8">
        <w:rPr>
          <w:b/>
        </w:rPr>
        <w:t>Johannesburg</w:t>
      </w:r>
    </w:p>
    <w:p w14:paraId="35536E34" w14:textId="2304B0FB" w:rsidR="008D0BE5" w:rsidRDefault="008D0BE5" w:rsidP="003358FB">
      <w:pPr>
        <w:pStyle w:val="NoSpacing"/>
        <w:ind w:left="4320"/>
        <w:jc w:val="right"/>
        <w:rPr>
          <w:b/>
        </w:rPr>
      </w:pPr>
      <w:r>
        <w:rPr>
          <w:b/>
        </w:rPr>
        <w:t xml:space="preserve">E-mail: </w:t>
      </w:r>
      <w:hyperlink r:id="rId6" w:history="1">
        <w:r w:rsidR="00E32E84">
          <w:rPr>
            <w:rStyle w:val="Hyperlink"/>
          </w:rPr>
          <w:t>action@krr.org.za</w:t>
        </w:r>
      </w:hyperlink>
    </w:p>
    <w:p w14:paraId="735EC85E" w14:textId="5FE1B95A" w:rsidR="008D0BE5" w:rsidRPr="005D3AB8" w:rsidRDefault="00C9334A" w:rsidP="003358FB">
      <w:pPr>
        <w:pStyle w:val="NoSpacing"/>
        <w:ind w:left="4320"/>
        <w:jc w:val="right"/>
        <w:rPr>
          <w:b/>
        </w:rPr>
      </w:pPr>
      <w:hyperlink r:id="rId7" w:history="1">
        <w:r w:rsidR="008D0BE5" w:rsidRPr="00E45220">
          <w:rPr>
            <w:rStyle w:val="Hyperlink"/>
          </w:rPr>
          <w:t>www.krra.org.za</w:t>
        </w:r>
      </w:hyperlink>
      <w:r w:rsidR="008D0BE5">
        <w:rPr>
          <w:b/>
        </w:rPr>
        <w:t xml:space="preserve"> </w:t>
      </w:r>
    </w:p>
    <w:p w14:paraId="18A40A96" w14:textId="77777777" w:rsidR="003358FB" w:rsidRDefault="003358FB" w:rsidP="003358FB">
      <w:pPr>
        <w:rPr>
          <w:rFonts w:ascii="Trebuchet MS" w:hAnsi="Trebuchet MS"/>
          <w:b/>
          <w:sz w:val="28"/>
          <w:szCs w:val="28"/>
        </w:rPr>
      </w:pPr>
    </w:p>
    <w:p w14:paraId="6836EE76" w14:textId="77777777" w:rsidR="003358FB" w:rsidRDefault="003358FB" w:rsidP="003358FB">
      <w:pPr>
        <w:rPr>
          <w:rFonts w:ascii="Trebuchet MS" w:hAnsi="Trebuchet MS"/>
          <w:b/>
          <w:sz w:val="28"/>
          <w:szCs w:val="28"/>
        </w:rPr>
      </w:pPr>
    </w:p>
    <w:p w14:paraId="1E671A22" w14:textId="77777777" w:rsidR="003358FB" w:rsidRDefault="003358FB" w:rsidP="003358FB">
      <w:pPr>
        <w:rPr>
          <w:rFonts w:ascii="Trebuchet MS" w:hAnsi="Trebuchet MS"/>
          <w:b/>
          <w:sz w:val="28"/>
          <w:szCs w:val="28"/>
        </w:rPr>
      </w:pPr>
    </w:p>
    <w:p w14:paraId="74624817" w14:textId="77777777" w:rsidR="003358FB" w:rsidRDefault="003358FB" w:rsidP="003358FB">
      <w:pPr>
        <w:rPr>
          <w:rFonts w:ascii="Trebuchet MS" w:hAnsi="Trebuchet MS"/>
          <w:b/>
          <w:sz w:val="28"/>
          <w:szCs w:val="28"/>
        </w:rPr>
      </w:pPr>
    </w:p>
    <w:p w14:paraId="79748DF7" w14:textId="77777777" w:rsidR="003358FB" w:rsidRDefault="003358FB" w:rsidP="003358FB">
      <w:pPr>
        <w:rPr>
          <w:rFonts w:ascii="Trebuchet MS" w:hAnsi="Trebuchet MS"/>
          <w:b/>
          <w:sz w:val="28"/>
          <w:szCs w:val="28"/>
        </w:rPr>
      </w:pPr>
    </w:p>
    <w:p w14:paraId="0777476D" w14:textId="77777777" w:rsidR="003358FB" w:rsidRDefault="003358FB" w:rsidP="003358FB">
      <w:pPr>
        <w:rPr>
          <w:rFonts w:ascii="Trebuchet MS" w:hAnsi="Trebuchet MS"/>
          <w:b/>
          <w:sz w:val="28"/>
          <w:szCs w:val="28"/>
        </w:rPr>
      </w:pPr>
    </w:p>
    <w:p w14:paraId="05FBDC78" w14:textId="77777777" w:rsidR="003358FB" w:rsidRDefault="003358FB" w:rsidP="003358FB">
      <w:pPr>
        <w:rPr>
          <w:rFonts w:ascii="Trebuchet MS" w:hAnsi="Trebuchet MS"/>
          <w:b/>
          <w:sz w:val="28"/>
          <w:szCs w:val="28"/>
        </w:rPr>
      </w:pPr>
    </w:p>
    <w:p w14:paraId="4C1B6A8C" w14:textId="77777777" w:rsidR="003358FB" w:rsidRPr="00C93BFC" w:rsidRDefault="003358FB" w:rsidP="003358FB">
      <w:pPr>
        <w:jc w:val="center"/>
        <w:rPr>
          <w:rFonts w:ascii="Trebuchet MS" w:hAnsi="Trebuchet MS"/>
          <w:b/>
          <w:color w:val="00B050"/>
          <w:sz w:val="24"/>
          <w:szCs w:val="24"/>
        </w:rPr>
      </w:pPr>
      <w:r w:rsidRPr="00C93BFC">
        <w:rPr>
          <w:rFonts w:ascii="Trebuchet MS" w:hAnsi="Trebuchet MS"/>
          <w:b/>
          <w:color w:val="00B050"/>
          <w:sz w:val="24"/>
          <w:szCs w:val="24"/>
        </w:rPr>
        <w:t>Information Flyer 2:</w:t>
      </w:r>
    </w:p>
    <w:p w14:paraId="52D34EAE" w14:textId="6232CD9A" w:rsidR="003358FB" w:rsidRPr="00C93BFC" w:rsidRDefault="003358FB" w:rsidP="003358FB">
      <w:pPr>
        <w:jc w:val="center"/>
        <w:rPr>
          <w:rFonts w:ascii="Trebuchet MS" w:hAnsi="Trebuchet MS"/>
          <w:b/>
          <w:color w:val="00B050"/>
          <w:sz w:val="24"/>
          <w:szCs w:val="24"/>
        </w:rPr>
      </w:pPr>
      <w:r w:rsidRPr="00C93BFC">
        <w:rPr>
          <w:rFonts w:ascii="Trebuchet MS" w:hAnsi="Trebuchet MS"/>
          <w:b/>
          <w:color w:val="00B050"/>
          <w:sz w:val="24"/>
          <w:szCs w:val="24"/>
        </w:rPr>
        <w:t xml:space="preserve"> How to lodge an objection to an </w:t>
      </w:r>
      <w:r w:rsidR="008D0BE5">
        <w:rPr>
          <w:rFonts w:ascii="Trebuchet MS" w:hAnsi="Trebuchet MS"/>
          <w:b/>
          <w:color w:val="00B050"/>
          <w:sz w:val="24"/>
          <w:szCs w:val="24"/>
        </w:rPr>
        <w:t>A</w:t>
      </w:r>
      <w:r w:rsidRPr="00C93BFC">
        <w:rPr>
          <w:rFonts w:ascii="Trebuchet MS" w:hAnsi="Trebuchet MS"/>
          <w:b/>
          <w:color w:val="00B050"/>
          <w:sz w:val="24"/>
          <w:szCs w:val="24"/>
        </w:rPr>
        <w:t xml:space="preserve">pplication for a </w:t>
      </w:r>
      <w:r w:rsidR="008D0BE5">
        <w:rPr>
          <w:rFonts w:ascii="Trebuchet MS" w:hAnsi="Trebuchet MS"/>
          <w:b/>
          <w:color w:val="00B050"/>
          <w:sz w:val="24"/>
          <w:szCs w:val="24"/>
        </w:rPr>
        <w:t>L</w:t>
      </w:r>
      <w:r w:rsidRPr="00C93BFC">
        <w:rPr>
          <w:rFonts w:ascii="Trebuchet MS" w:hAnsi="Trebuchet MS"/>
          <w:b/>
          <w:color w:val="00B050"/>
          <w:sz w:val="24"/>
          <w:szCs w:val="24"/>
        </w:rPr>
        <w:t xml:space="preserve">iquor </w:t>
      </w:r>
      <w:r w:rsidR="008D0BE5">
        <w:rPr>
          <w:rFonts w:ascii="Trebuchet MS" w:hAnsi="Trebuchet MS"/>
          <w:b/>
          <w:color w:val="00B050"/>
          <w:sz w:val="24"/>
          <w:szCs w:val="24"/>
        </w:rPr>
        <w:t>L</w:t>
      </w:r>
      <w:r w:rsidRPr="00C93BFC">
        <w:rPr>
          <w:rFonts w:ascii="Trebuchet MS" w:hAnsi="Trebuchet MS"/>
          <w:b/>
          <w:color w:val="00B050"/>
          <w:sz w:val="24"/>
          <w:szCs w:val="24"/>
        </w:rPr>
        <w:t xml:space="preserve">icense with the Gauteng Liquor Board </w:t>
      </w:r>
    </w:p>
    <w:p w14:paraId="0F7E508A" w14:textId="77777777" w:rsidR="003358FB" w:rsidRPr="00C93BFC" w:rsidRDefault="003358FB" w:rsidP="003358FB">
      <w:pPr>
        <w:jc w:val="center"/>
        <w:rPr>
          <w:rFonts w:ascii="Trebuchet MS" w:hAnsi="Trebuchet MS"/>
          <w:b/>
          <w:sz w:val="24"/>
          <w:szCs w:val="24"/>
        </w:rPr>
      </w:pPr>
      <w:r w:rsidRPr="00C93BFC">
        <w:rPr>
          <w:rFonts w:ascii="Trebuchet MS" w:hAnsi="Trebuchet MS"/>
          <w:b/>
          <w:color w:val="00B050"/>
          <w:sz w:val="24"/>
          <w:szCs w:val="24"/>
        </w:rPr>
        <w:t>This will protect the residential character of the neighbourhood</w:t>
      </w:r>
    </w:p>
    <w:p w14:paraId="7BE4841D" w14:textId="77777777" w:rsidR="003358FB" w:rsidRDefault="003358FB" w:rsidP="003358FB">
      <w:pPr>
        <w:jc w:val="center"/>
        <w:rPr>
          <w:rFonts w:ascii="Trebuchet MS" w:hAnsi="Trebuchet MS"/>
          <w:b/>
          <w:sz w:val="24"/>
          <w:szCs w:val="24"/>
        </w:rPr>
      </w:pPr>
    </w:p>
    <w:p w14:paraId="08AD3F67" w14:textId="77777777" w:rsidR="003358FB" w:rsidRPr="00C93BFC" w:rsidRDefault="003358FB" w:rsidP="003358FB">
      <w:pPr>
        <w:jc w:val="center"/>
        <w:rPr>
          <w:rFonts w:ascii="Trebuchet MS" w:hAnsi="Trebuchet MS"/>
          <w:b/>
        </w:rPr>
      </w:pPr>
      <w:r w:rsidRPr="00C93BFC">
        <w:rPr>
          <w:rFonts w:ascii="Trebuchet MS" w:hAnsi="Trebuchet MS"/>
          <w:b/>
        </w:rPr>
        <w:t xml:space="preserve">The KRRA is gravely concerned about the proliferation of liquor outlets in Kensington and surrounding areas. </w:t>
      </w:r>
    </w:p>
    <w:p w14:paraId="7966176C" w14:textId="77777777" w:rsidR="003358FB" w:rsidRPr="00C93BFC" w:rsidRDefault="003358FB" w:rsidP="003358FB">
      <w:pPr>
        <w:jc w:val="center"/>
        <w:rPr>
          <w:rFonts w:ascii="Trebuchet MS" w:hAnsi="Trebuchet MS"/>
          <w:b/>
        </w:rPr>
      </w:pPr>
      <w:r w:rsidRPr="00C93BFC">
        <w:rPr>
          <w:rFonts w:ascii="Trebuchet MS" w:hAnsi="Trebuchet MS"/>
          <w:b/>
        </w:rPr>
        <w:t xml:space="preserve"> We urge residents, businesses, schools, religious organisations and other stakeholders to lodge formal objections to the award of a liquor license to the applicant with the Gauteng Liquor Board in terms of the Gauteng Liquor Act of 2013 (Department of Economic Development) and the Gauteng Liquor Regulations 2013 administered by the Gauteng Liquor Board.     </w:t>
      </w:r>
    </w:p>
    <w:p w14:paraId="5C9D9599" w14:textId="77777777" w:rsidR="003358FB" w:rsidRDefault="003358FB" w:rsidP="003358FB">
      <w:pPr>
        <w:jc w:val="center"/>
        <w:rPr>
          <w:rFonts w:ascii="Trebuchet MS" w:hAnsi="Trebuchet MS"/>
          <w:b/>
          <w:sz w:val="24"/>
          <w:szCs w:val="24"/>
        </w:rPr>
      </w:pPr>
    </w:p>
    <w:p w14:paraId="24810917" w14:textId="7BA4FBFF" w:rsidR="003358FB" w:rsidRPr="00D3305F" w:rsidRDefault="003358FB" w:rsidP="003358FB">
      <w:pPr>
        <w:rPr>
          <w:rFonts w:ascii="Trebuchet MS" w:hAnsi="Trebuchet MS"/>
          <w:b/>
          <w:color w:val="00B050"/>
          <w:sz w:val="24"/>
          <w:szCs w:val="24"/>
        </w:rPr>
      </w:pPr>
      <w:r w:rsidRPr="00D3305F">
        <w:rPr>
          <w:rFonts w:ascii="Trebuchet MS" w:hAnsi="Trebuchet MS"/>
          <w:b/>
          <w:color w:val="00B050"/>
          <w:sz w:val="24"/>
          <w:szCs w:val="24"/>
        </w:rPr>
        <w:t>Who may lodge a</w:t>
      </w:r>
      <w:r>
        <w:rPr>
          <w:rFonts w:ascii="Trebuchet MS" w:hAnsi="Trebuchet MS"/>
          <w:b/>
          <w:color w:val="00B050"/>
          <w:sz w:val="24"/>
          <w:szCs w:val="24"/>
        </w:rPr>
        <w:t>n objection?</w:t>
      </w:r>
    </w:p>
    <w:p w14:paraId="4A29FD8E" w14:textId="77777777" w:rsidR="00717D02" w:rsidRDefault="003358FB" w:rsidP="00717D02">
      <w:pPr>
        <w:pStyle w:val="ListParagraph"/>
        <w:numPr>
          <w:ilvl w:val="0"/>
          <w:numId w:val="1"/>
        </w:numPr>
        <w:rPr>
          <w:rFonts w:ascii="Trebuchet MS" w:hAnsi="Trebuchet MS"/>
          <w:b/>
          <w:color w:val="00B050"/>
          <w:sz w:val="24"/>
          <w:szCs w:val="24"/>
        </w:rPr>
      </w:pPr>
      <w:r w:rsidRPr="00717D02">
        <w:rPr>
          <w:rFonts w:ascii="Trebuchet MS" w:hAnsi="Trebuchet MS"/>
        </w:rPr>
        <w:t xml:space="preserve">A resident, school, place of worship, business or any concerned party may support or object to the award of a liquor license to the applicant. </w:t>
      </w:r>
    </w:p>
    <w:p w14:paraId="045232F9" w14:textId="77777777" w:rsidR="00717D02" w:rsidRDefault="00717D02" w:rsidP="00717D02">
      <w:pPr>
        <w:pStyle w:val="ListParagraph"/>
        <w:ind w:left="0"/>
        <w:jc w:val="both"/>
        <w:rPr>
          <w:rFonts w:ascii="Trebuchet MS" w:hAnsi="Trebuchet MS"/>
          <w:b/>
          <w:color w:val="00B050"/>
          <w:sz w:val="24"/>
          <w:szCs w:val="24"/>
        </w:rPr>
      </w:pPr>
    </w:p>
    <w:p w14:paraId="7F231DFF" w14:textId="47F104CE" w:rsidR="003358FB" w:rsidRPr="00717D02" w:rsidRDefault="003358FB" w:rsidP="00717D02">
      <w:pPr>
        <w:pStyle w:val="ListParagraph"/>
        <w:ind w:left="0"/>
        <w:jc w:val="both"/>
        <w:rPr>
          <w:rFonts w:ascii="Trebuchet MS" w:hAnsi="Trebuchet MS"/>
          <w:b/>
          <w:color w:val="00B050"/>
          <w:sz w:val="24"/>
          <w:szCs w:val="24"/>
        </w:rPr>
      </w:pPr>
      <w:r w:rsidRPr="00717D02">
        <w:rPr>
          <w:rFonts w:ascii="Trebuchet MS" w:hAnsi="Trebuchet MS"/>
          <w:b/>
          <w:color w:val="00B050"/>
          <w:sz w:val="24"/>
          <w:szCs w:val="24"/>
        </w:rPr>
        <w:t xml:space="preserve">Types of liquor licenses  </w:t>
      </w:r>
    </w:p>
    <w:p w14:paraId="324A40C5" w14:textId="77777777" w:rsidR="00DA2F95" w:rsidRDefault="003358FB" w:rsidP="003358FB">
      <w:pPr>
        <w:jc w:val="both"/>
        <w:rPr>
          <w:rFonts w:ascii="Trebuchet MS" w:hAnsi="Trebuchet MS"/>
        </w:rPr>
      </w:pPr>
      <w:r w:rsidRPr="00C367C0">
        <w:rPr>
          <w:rFonts w:ascii="Trebuchet MS" w:hAnsi="Trebuchet MS"/>
        </w:rPr>
        <w:t>There are different types of liquor licenses that can be applied: these are</w:t>
      </w:r>
    </w:p>
    <w:p w14:paraId="7315DBDF" w14:textId="043357AF" w:rsidR="00DA2F95" w:rsidRDefault="003358FB" w:rsidP="003358FB">
      <w:pPr>
        <w:jc w:val="both"/>
        <w:rPr>
          <w:rFonts w:ascii="Trebuchet MS" w:hAnsi="Trebuchet MS"/>
        </w:rPr>
      </w:pPr>
      <w:r w:rsidRPr="00C367C0">
        <w:rPr>
          <w:rFonts w:ascii="Trebuchet MS" w:hAnsi="Trebuchet MS"/>
        </w:rPr>
        <w:t>(a) for the consumption of liquor on the premises such as restaurants, pubs, and taverns</w:t>
      </w:r>
      <w:r w:rsidR="00717D02">
        <w:rPr>
          <w:rFonts w:ascii="Trebuchet MS" w:hAnsi="Trebuchet MS"/>
        </w:rPr>
        <w:t>;</w:t>
      </w:r>
      <w:r w:rsidRPr="00C367C0">
        <w:rPr>
          <w:rFonts w:ascii="Trebuchet MS" w:hAnsi="Trebuchet MS"/>
        </w:rPr>
        <w:t xml:space="preserve">  </w:t>
      </w:r>
    </w:p>
    <w:p w14:paraId="1DB571F1" w14:textId="77777777" w:rsidR="00DA2F95" w:rsidRDefault="003358FB" w:rsidP="003358FB">
      <w:pPr>
        <w:jc w:val="both"/>
        <w:rPr>
          <w:rFonts w:ascii="Trebuchet MS" w:hAnsi="Trebuchet MS"/>
        </w:rPr>
      </w:pPr>
      <w:r w:rsidRPr="00C367C0">
        <w:rPr>
          <w:rFonts w:ascii="Trebuchet MS" w:hAnsi="Trebuchet MS"/>
        </w:rPr>
        <w:t xml:space="preserve">(b) for the consumption of liquor off the premises such as a liquor store. </w:t>
      </w:r>
    </w:p>
    <w:p w14:paraId="5C416883" w14:textId="545360CD" w:rsidR="00DA2F95" w:rsidRDefault="003358FB" w:rsidP="003358FB">
      <w:pPr>
        <w:jc w:val="both"/>
        <w:rPr>
          <w:rFonts w:ascii="Trebuchet MS" w:hAnsi="Trebuchet MS"/>
        </w:rPr>
      </w:pPr>
      <w:r w:rsidRPr="00C367C0">
        <w:rPr>
          <w:rFonts w:ascii="Trebuchet MS" w:hAnsi="Trebuchet MS"/>
        </w:rPr>
        <w:t>There are different conditions that apply for different types of licenses</w:t>
      </w:r>
      <w:r w:rsidR="00717D02">
        <w:rPr>
          <w:rFonts w:ascii="Trebuchet MS" w:hAnsi="Trebuchet MS"/>
        </w:rPr>
        <w:t xml:space="preserve"> such as trading hours; and the serving of meals.</w:t>
      </w:r>
      <w:r w:rsidRPr="00C367C0">
        <w:rPr>
          <w:rFonts w:ascii="Trebuchet MS" w:hAnsi="Trebuchet MS"/>
        </w:rPr>
        <w:t xml:space="preserve"> </w:t>
      </w:r>
    </w:p>
    <w:p w14:paraId="7E2984E0" w14:textId="77777777" w:rsidR="00B25270" w:rsidRDefault="003358FB" w:rsidP="003358FB">
      <w:pPr>
        <w:jc w:val="both"/>
        <w:rPr>
          <w:rFonts w:ascii="Trebuchet MS" w:hAnsi="Trebuchet MS"/>
        </w:rPr>
      </w:pPr>
      <w:r w:rsidRPr="00C367C0">
        <w:rPr>
          <w:rFonts w:ascii="Trebuchet MS" w:hAnsi="Trebuchet MS"/>
        </w:rPr>
        <w:lastRenderedPageBreak/>
        <w:t>The Gauteng Liquor Board may stipulate the conditions</w:t>
      </w:r>
      <w:r w:rsidR="00717D02">
        <w:rPr>
          <w:rFonts w:ascii="Trebuchet MS" w:hAnsi="Trebuchet MS"/>
        </w:rPr>
        <w:t xml:space="preserve"> that apply to the award of a license. T</w:t>
      </w:r>
      <w:r w:rsidRPr="00C367C0">
        <w:rPr>
          <w:rFonts w:ascii="Trebuchet MS" w:hAnsi="Trebuchet MS"/>
        </w:rPr>
        <w:t>his may be over and above the requirements in the Act and the Regulations</w:t>
      </w:r>
      <w:r w:rsidR="00717D02">
        <w:rPr>
          <w:rFonts w:ascii="Trebuchet MS" w:hAnsi="Trebuchet MS"/>
        </w:rPr>
        <w:t>.</w:t>
      </w:r>
      <w:r w:rsidRPr="00C367C0">
        <w:rPr>
          <w:rFonts w:ascii="Trebuchet MS" w:hAnsi="Trebuchet MS"/>
        </w:rPr>
        <w:t xml:space="preserve"> </w:t>
      </w:r>
    </w:p>
    <w:p w14:paraId="0142BE1F" w14:textId="6107AA9F" w:rsidR="003358FB" w:rsidRPr="00C367C0" w:rsidRDefault="003358FB" w:rsidP="003358FB">
      <w:pPr>
        <w:jc w:val="both"/>
        <w:rPr>
          <w:rFonts w:ascii="Trebuchet MS" w:hAnsi="Trebuchet MS"/>
        </w:rPr>
      </w:pPr>
      <w:bookmarkStart w:id="0" w:name="_GoBack"/>
      <w:bookmarkEnd w:id="0"/>
      <w:r w:rsidRPr="00C367C0">
        <w:rPr>
          <w:rFonts w:ascii="Trebuchet MS" w:hAnsi="Trebuchet MS"/>
        </w:rPr>
        <w:t>For example, set times when a business may operate</w:t>
      </w:r>
      <w:r w:rsidR="00717D02">
        <w:rPr>
          <w:rFonts w:ascii="Trebuchet MS" w:hAnsi="Trebuchet MS"/>
        </w:rPr>
        <w:t>, this differs for different types of businesses such as restaurants and pubs, L</w:t>
      </w:r>
      <w:r w:rsidR="007F3991" w:rsidRPr="00C367C0">
        <w:rPr>
          <w:rFonts w:ascii="Trebuchet MS" w:hAnsi="Trebuchet MS"/>
        </w:rPr>
        <w:t xml:space="preserve">iquor may not be served to minors or </w:t>
      </w:r>
      <w:r w:rsidR="00CE237C">
        <w:rPr>
          <w:rFonts w:ascii="Trebuchet MS" w:hAnsi="Trebuchet MS"/>
        </w:rPr>
        <w:t>i</w:t>
      </w:r>
      <w:r w:rsidR="007F3991" w:rsidRPr="00C367C0">
        <w:rPr>
          <w:rFonts w:ascii="Trebuchet MS" w:hAnsi="Trebuchet MS"/>
        </w:rPr>
        <w:t>ntoxicated persons</w:t>
      </w:r>
      <w:r w:rsidR="00717D02">
        <w:rPr>
          <w:rFonts w:ascii="Trebuchet MS" w:hAnsi="Trebuchet MS"/>
        </w:rPr>
        <w:t xml:space="preserve">. An entertainment license will be needed if music will be provided.  </w:t>
      </w:r>
      <w:r w:rsidRPr="00C367C0">
        <w:rPr>
          <w:rFonts w:ascii="Trebuchet MS" w:hAnsi="Trebuchet MS"/>
        </w:rPr>
        <w:t xml:space="preserve">        </w:t>
      </w:r>
    </w:p>
    <w:p w14:paraId="6FE626BA" w14:textId="4BBB20B6" w:rsidR="00717D02" w:rsidRDefault="00717D02" w:rsidP="00717D02">
      <w:pPr>
        <w:rPr>
          <w:rFonts w:ascii="Trebuchet MS" w:hAnsi="Trebuchet MS"/>
          <w:b/>
          <w:color w:val="00B050"/>
          <w:sz w:val="24"/>
          <w:szCs w:val="24"/>
        </w:rPr>
      </w:pPr>
      <w:r>
        <w:rPr>
          <w:rFonts w:ascii="Trebuchet MS" w:hAnsi="Trebuchet MS"/>
          <w:b/>
          <w:color w:val="00B050"/>
          <w:sz w:val="24"/>
          <w:szCs w:val="24"/>
        </w:rPr>
        <w:t>Reasons</w:t>
      </w:r>
      <w:r w:rsidR="000F6749">
        <w:rPr>
          <w:rFonts w:ascii="Trebuchet MS" w:hAnsi="Trebuchet MS"/>
          <w:b/>
          <w:color w:val="00B050"/>
          <w:sz w:val="24"/>
          <w:szCs w:val="24"/>
        </w:rPr>
        <w:t xml:space="preserve"> for </w:t>
      </w:r>
      <w:r>
        <w:rPr>
          <w:rFonts w:ascii="Trebuchet MS" w:hAnsi="Trebuchet MS"/>
          <w:b/>
          <w:color w:val="00B050"/>
          <w:sz w:val="24"/>
          <w:szCs w:val="24"/>
        </w:rPr>
        <w:t xml:space="preserve">the </w:t>
      </w:r>
      <w:r w:rsidR="000F6749">
        <w:rPr>
          <w:rFonts w:ascii="Trebuchet MS" w:hAnsi="Trebuchet MS"/>
          <w:b/>
          <w:color w:val="00B050"/>
          <w:sz w:val="24"/>
          <w:szCs w:val="24"/>
        </w:rPr>
        <w:t xml:space="preserve">objection </w:t>
      </w:r>
      <w:r w:rsidR="003358FB">
        <w:rPr>
          <w:rFonts w:ascii="Trebuchet MS" w:hAnsi="Trebuchet MS"/>
          <w:b/>
          <w:color w:val="00B050"/>
          <w:sz w:val="24"/>
          <w:szCs w:val="24"/>
        </w:rPr>
        <w:t xml:space="preserve">  </w:t>
      </w:r>
    </w:p>
    <w:p w14:paraId="563B463E" w14:textId="3A2B444B" w:rsidR="00717D02" w:rsidRPr="00690B4D" w:rsidRDefault="00717D02" w:rsidP="00717D02">
      <w:pPr>
        <w:rPr>
          <w:rFonts w:ascii="Trebuchet MS" w:hAnsi="Trebuchet MS"/>
          <w:b/>
          <w:color w:val="00B050"/>
          <w:sz w:val="24"/>
          <w:szCs w:val="24"/>
        </w:rPr>
      </w:pPr>
      <w:r w:rsidRPr="00690B4D">
        <w:rPr>
          <w:rFonts w:ascii="Trebuchet MS" w:hAnsi="Trebuchet MS"/>
          <w:b/>
        </w:rPr>
        <w:t xml:space="preserve">Reasons must be stated clearly, the dates and times of the incidents and evidence if this is available. Reasons for the objection may include any one or more of the following:    </w:t>
      </w:r>
    </w:p>
    <w:p w14:paraId="55EC8B6A" w14:textId="77777777" w:rsidR="00452342" w:rsidRPr="00CE237C" w:rsidRDefault="007F3991" w:rsidP="00452342">
      <w:pPr>
        <w:pStyle w:val="ListParagraph"/>
        <w:numPr>
          <w:ilvl w:val="0"/>
          <w:numId w:val="1"/>
        </w:numPr>
        <w:rPr>
          <w:rFonts w:ascii="Trebuchet MS" w:hAnsi="Trebuchet MS"/>
        </w:rPr>
      </w:pPr>
      <w:r w:rsidRPr="00CE237C">
        <w:rPr>
          <w:rFonts w:ascii="Trebuchet MS" w:hAnsi="Trebuchet MS"/>
        </w:rPr>
        <w:t>If the award of a license is not in the public interest.</w:t>
      </w:r>
      <w:r w:rsidR="00452342" w:rsidRPr="00CE237C">
        <w:rPr>
          <w:rFonts w:ascii="Trebuchet MS" w:hAnsi="Trebuchet MS"/>
        </w:rPr>
        <w:t xml:space="preserve"> </w:t>
      </w:r>
    </w:p>
    <w:p w14:paraId="0A55AB12" w14:textId="69E0DACD" w:rsidR="00064D05" w:rsidRPr="00C367C0" w:rsidRDefault="00452342" w:rsidP="00452342">
      <w:pPr>
        <w:pStyle w:val="ListParagraph"/>
        <w:numPr>
          <w:ilvl w:val="0"/>
          <w:numId w:val="1"/>
        </w:numPr>
        <w:rPr>
          <w:rFonts w:ascii="Trebuchet MS" w:hAnsi="Trebuchet MS"/>
        </w:rPr>
      </w:pPr>
      <w:r w:rsidRPr="00C367C0">
        <w:rPr>
          <w:rFonts w:ascii="Trebuchet MS" w:hAnsi="Trebuchet MS"/>
        </w:rPr>
        <w:t>In this regard, the social and economic impact of the business on the residential character of an area such as Kensington which is 99% a residential area</w:t>
      </w:r>
      <w:r w:rsidR="00690B4D">
        <w:rPr>
          <w:rFonts w:ascii="Trebuchet MS" w:hAnsi="Trebuchet MS"/>
        </w:rPr>
        <w:t>,</w:t>
      </w:r>
      <w:r w:rsidRPr="00C367C0">
        <w:rPr>
          <w:rFonts w:ascii="Trebuchet MS" w:hAnsi="Trebuchet MS"/>
        </w:rPr>
        <w:t xml:space="preserve"> must be considered</w:t>
      </w:r>
      <w:r w:rsidR="00064D05" w:rsidRPr="00C367C0">
        <w:rPr>
          <w:rFonts w:ascii="Trebuchet MS" w:hAnsi="Trebuchet MS"/>
        </w:rPr>
        <w:t>.</w:t>
      </w:r>
      <w:r w:rsidR="00690B4D">
        <w:rPr>
          <w:rFonts w:ascii="Trebuchet MS" w:hAnsi="Trebuchet MS"/>
        </w:rPr>
        <w:t xml:space="preserve"> How Kensington and surrounding areas are affected must be explained in the objection. Here is an example </w:t>
      </w:r>
      <w:r w:rsidR="005C3EBA">
        <w:rPr>
          <w:rFonts w:ascii="Trebuchet MS" w:hAnsi="Trebuchet MS"/>
        </w:rPr>
        <w:t xml:space="preserve">below of how an area may be affected. </w:t>
      </w:r>
      <w:r w:rsidR="00690B4D">
        <w:rPr>
          <w:rFonts w:ascii="Trebuchet MS" w:hAnsi="Trebuchet MS"/>
        </w:rPr>
        <w:t xml:space="preserve">      </w:t>
      </w:r>
    </w:p>
    <w:p w14:paraId="61ACE072" w14:textId="77777777" w:rsidR="00064D05" w:rsidRDefault="00452342" w:rsidP="00C93BFC">
      <w:pPr>
        <w:pStyle w:val="ListParagraph"/>
        <w:rPr>
          <w:rFonts w:ascii="Trebuchet MS" w:hAnsi="Trebuchet MS"/>
          <w:b/>
          <w:color w:val="00B050"/>
          <w:sz w:val="24"/>
          <w:szCs w:val="24"/>
        </w:rPr>
      </w:pPr>
      <w:r>
        <w:rPr>
          <w:rFonts w:ascii="Trebuchet MS" w:hAnsi="Trebuchet MS"/>
          <w:b/>
          <w:color w:val="00B050"/>
          <w:sz w:val="24"/>
          <w:szCs w:val="24"/>
        </w:rPr>
        <w:t xml:space="preserve"> </w:t>
      </w:r>
    </w:p>
    <w:tbl>
      <w:tblPr>
        <w:tblStyle w:val="TableGrid"/>
        <w:tblW w:w="0" w:type="auto"/>
        <w:tblInd w:w="720" w:type="dxa"/>
        <w:tblLook w:val="04A0" w:firstRow="1" w:lastRow="0" w:firstColumn="1" w:lastColumn="0" w:noHBand="0" w:noVBand="1"/>
      </w:tblPr>
      <w:tblGrid>
        <w:gridCol w:w="8296"/>
      </w:tblGrid>
      <w:tr w:rsidR="00064D05" w14:paraId="6BEF3BAF" w14:textId="77777777" w:rsidTr="00064D05">
        <w:tc>
          <w:tcPr>
            <w:tcW w:w="9016" w:type="dxa"/>
          </w:tcPr>
          <w:p w14:paraId="39AB86E4" w14:textId="77777777" w:rsidR="00064D05" w:rsidRDefault="00064D05" w:rsidP="00064D05">
            <w:pPr>
              <w:pStyle w:val="Default"/>
            </w:pPr>
          </w:p>
          <w:p w14:paraId="0462B931" w14:textId="35C37768" w:rsidR="00064D05" w:rsidRPr="00C93BFC" w:rsidRDefault="00064D05" w:rsidP="00064D05">
            <w:pPr>
              <w:pStyle w:val="Default"/>
              <w:rPr>
                <w:sz w:val="22"/>
                <w:szCs w:val="22"/>
              </w:rPr>
            </w:pPr>
            <w:r w:rsidRPr="00C93BFC">
              <w:rPr>
                <w:b/>
                <w:sz w:val="22"/>
                <w:szCs w:val="22"/>
              </w:rPr>
              <w:t>Gauteng Liquor Policy drafted in 2011</w:t>
            </w:r>
            <w:r w:rsidR="00C93BFC" w:rsidRPr="00C93BFC">
              <w:rPr>
                <w:b/>
                <w:sz w:val="22"/>
                <w:szCs w:val="22"/>
              </w:rPr>
              <w:t xml:space="preserve"> (Gauteng province)</w:t>
            </w:r>
            <w:r w:rsidRPr="00C93BFC">
              <w:rPr>
                <w:sz w:val="22"/>
                <w:szCs w:val="22"/>
              </w:rPr>
              <w:t xml:space="preserve"> </w:t>
            </w:r>
          </w:p>
          <w:p w14:paraId="0E7EA953" w14:textId="508B9643" w:rsidR="00064D05" w:rsidRPr="00690B4D" w:rsidRDefault="00064D05" w:rsidP="00064D05">
            <w:pPr>
              <w:pStyle w:val="Default"/>
              <w:rPr>
                <w:sz w:val="22"/>
                <w:szCs w:val="22"/>
              </w:rPr>
            </w:pPr>
            <w:r w:rsidRPr="00064D05">
              <w:rPr>
                <w:b/>
                <w:bCs/>
                <w:i/>
                <w:iCs/>
                <w:sz w:val="20"/>
                <w:szCs w:val="20"/>
              </w:rPr>
              <w:t>“Proximity of licensed premises to public facilities</w:t>
            </w:r>
            <w:r>
              <w:rPr>
                <w:b/>
                <w:bCs/>
                <w:i/>
                <w:iCs/>
                <w:sz w:val="20"/>
                <w:szCs w:val="20"/>
              </w:rPr>
              <w:t>.</w:t>
            </w:r>
            <w:r w:rsidRPr="00064D05">
              <w:rPr>
                <w:b/>
                <w:bCs/>
                <w:i/>
                <w:iCs/>
                <w:sz w:val="20"/>
                <w:szCs w:val="20"/>
              </w:rPr>
              <w:t xml:space="preserve"> </w:t>
            </w:r>
            <w:r w:rsidRPr="00690B4D">
              <w:rPr>
                <w:i/>
                <w:iCs/>
                <w:sz w:val="22"/>
                <w:szCs w:val="22"/>
              </w:rPr>
              <w:t>There are many licensed premises which are located within a 500 metre radius of places of worship, educational institutions, similar licensed premises or public transport facilities in contravention of existing legislation. Many of these premises are generally located in residential areas</w:t>
            </w:r>
            <w:r w:rsidR="00690B4D" w:rsidRPr="00690B4D">
              <w:rPr>
                <w:i/>
                <w:iCs/>
                <w:sz w:val="22"/>
                <w:szCs w:val="22"/>
              </w:rPr>
              <w:t xml:space="preserve">. </w:t>
            </w:r>
            <w:r w:rsidRPr="00690B4D">
              <w:rPr>
                <w:i/>
                <w:iCs/>
                <w:sz w:val="22"/>
                <w:szCs w:val="22"/>
              </w:rPr>
              <w:t xml:space="preserve"> The result of the location of premises near schools and places of worship is that: </w:t>
            </w:r>
          </w:p>
          <w:p w14:paraId="1F8CBCC8" w14:textId="77777777" w:rsidR="009346B8" w:rsidRDefault="00064D05" w:rsidP="00064D05">
            <w:pPr>
              <w:pStyle w:val="Default"/>
              <w:rPr>
                <w:i/>
                <w:iCs/>
                <w:sz w:val="22"/>
                <w:szCs w:val="22"/>
              </w:rPr>
            </w:pPr>
            <w:r w:rsidRPr="00690B4D">
              <w:rPr>
                <w:i/>
                <w:iCs/>
                <w:sz w:val="22"/>
                <w:szCs w:val="22"/>
              </w:rPr>
              <w:t xml:space="preserve">• under-age persons have easy access to liquor; </w:t>
            </w:r>
          </w:p>
          <w:p w14:paraId="6A401453" w14:textId="77777777" w:rsidR="009346B8" w:rsidRDefault="00064D05" w:rsidP="00064D05">
            <w:pPr>
              <w:pStyle w:val="Default"/>
              <w:rPr>
                <w:i/>
                <w:iCs/>
                <w:sz w:val="22"/>
                <w:szCs w:val="22"/>
              </w:rPr>
            </w:pPr>
            <w:r w:rsidRPr="00690B4D">
              <w:rPr>
                <w:i/>
                <w:iCs/>
                <w:sz w:val="22"/>
                <w:szCs w:val="22"/>
              </w:rPr>
              <w:t xml:space="preserve">• intoxicated patrons victimise learners and educators and members of the community; </w:t>
            </w:r>
          </w:p>
          <w:p w14:paraId="5AE22CD3" w14:textId="77777777" w:rsidR="009346B8" w:rsidRDefault="00064D05" w:rsidP="00064D05">
            <w:pPr>
              <w:pStyle w:val="Default"/>
              <w:rPr>
                <w:i/>
                <w:iCs/>
                <w:sz w:val="22"/>
                <w:szCs w:val="22"/>
              </w:rPr>
            </w:pPr>
            <w:r w:rsidRPr="00690B4D">
              <w:rPr>
                <w:i/>
                <w:iCs/>
                <w:sz w:val="22"/>
                <w:szCs w:val="22"/>
              </w:rPr>
              <w:t>• the activities within these premises and the noise and entertainment interferes with the</w:t>
            </w:r>
            <w:r w:rsidR="00C93BFC" w:rsidRPr="00690B4D">
              <w:rPr>
                <w:i/>
                <w:iCs/>
                <w:sz w:val="22"/>
                <w:szCs w:val="22"/>
              </w:rPr>
              <w:t xml:space="preserve"> </w:t>
            </w:r>
            <w:r w:rsidRPr="00690B4D">
              <w:rPr>
                <w:i/>
                <w:iCs/>
                <w:sz w:val="22"/>
                <w:szCs w:val="22"/>
              </w:rPr>
              <w:t xml:space="preserve">activities at educational institutions and can be a nuisance to residents living in their vicinity; </w:t>
            </w:r>
          </w:p>
          <w:p w14:paraId="03B5D9C5" w14:textId="77777777" w:rsidR="009346B8" w:rsidRDefault="00064D05" w:rsidP="00064D05">
            <w:pPr>
              <w:pStyle w:val="Default"/>
              <w:rPr>
                <w:i/>
                <w:iCs/>
                <w:sz w:val="22"/>
                <w:szCs w:val="22"/>
              </w:rPr>
            </w:pPr>
            <w:r w:rsidRPr="00690B4D">
              <w:rPr>
                <w:i/>
                <w:iCs/>
                <w:sz w:val="22"/>
                <w:szCs w:val="22"/>
              </w:rPr>
              <w:t xml:space="preserve">• These premises and their patrons operate for at least 16 hours a day, creating continuous noise and pollution for surrounding residents; and </w:t>
            </w:r>
          </w:p>
          <w:p w14:paraId="12AD7293" w14:textId="727013BC" w:rsidR="00690B4D" w:rsidRPr="00690B4D" w:rsidRDefault="00064D05" w:rsidP="009346B8">
            <w:pPr>
              <w:pStyle w:val="Default"/>
              <w:rPr>
                <w:i/>
                <w:iCs/>
                <w:color w:val="auto"/>
                <w:sz w:val="22"/>
                <w:szCs w:val="22"/>
              </w:rPr>
            </w:pPr>
            <w:r w:rsidRPr="00690B4D">
              <w:rPr>
                <w:i/>
                <w:iCs/>
                <w:sz w:val="22"/>
                <w:szCs w:val="22"/>
              </w:rPr>
              <w:t xml:space="preserve">• These premises often have patrons who are involved in fights with each other after alcohol </w:t>
            </w:r>
            <w:r w:rsidRPr="00690B4D">
              <w:rPr>
                <w:i/>
                <w:iCs/>
                <w:color w:val="auto"/>
                <w:sz w:val="22"/>
                <w:szCs w:val="22"/>
              </w:rPr>
              <w:t>consumption or fights with other people as they leave the drinking premises.”</w:t>
            </w:r>
            <w:r w:rsidR="00C93BFC" w:rsidRPr="00690B4D">
              <w:rPr>
                <w:i/>
                <w:iCs/>
                <w:color w:val="auto"/>
                <w:sz w:val="22"/>
                <w:szCs w:val="22"/>
              </w:rPr>
              <w:t xml:space="preserve">. </w:t>
            </w:r>
          </w:p>
          <w:p w14:paraId="5C0FF9CE" w14:textId="2311361D" w:rsidR="00064D05" w:rsidRDefault="00690B4D" w:rsidP="00690B4D">
            <w:pPr>
              <w:pStyle w:val="Default"/>
              <w:pageBreakBefore/>
              <w:rPr>
                <w:rFonts w:ascii="Trebuchet MS" w:hAnsi="Trebuchet MS"/>
                <w:b/>
                <w:color w:val="00B050"/>
              </w:rPr>
            </w:pPr>
            <w:r w:rsidRPr="00690B4D">
              <w:rPr>
                <w:i/>
                <w:iCs/>
                <w:color w:val="auto"/>
                <w:sz w:val="22"/>
                <w:szCs w:val="22"/>
              </w:rPr>
              <w:t>S</w:t>
            </w:r>
            <w:r w:rsidR="00C93BFC" w:rsidRPr="00690B4D">
              <w:rPr>
                <w:i/>
                <w:iCs/>
                <w:color w:val="auto"/>
                <w:sz w:val="22"/>
                <w:szCs w:val="22"/>
              </w:rPr>
              <w:t>ource: Melville Residents Association</w:t>
            </w:r>
          </w:p>
        </w:tc>
      </w:tr>
    </w:tbl>
    <w:p w14:paraId="68B4C9AC" w14:textId="34D8581B" w:rsidR="007F3991" w:rsidRPr="00C93BFC" w:rsidRDefault="00452342" w:rsidP="00C93BFC">
      <w:pPr>
        <w:pStyle w:val="ListParagraph"/>
        <w:rPr>
          <w:rFonts w:ascii="Trebuchet MS" w:hAnsi="Trebuchet MS"/>
          <w:b/>
          <w:color w:val="00B050"/>
          <w:sz w:val="24"/>
          <w:szCs w:val="24"/>
        </w:rPr>
      </w:pPr>
      <w:r>
        <w:rPr>
          <w:rFonts w:ascii="Trebuchet MS" w:hAnsi="Trebuchet MS"/>
          <w:b/>
          <w:color w:val="00B050"/>
          <w:sz w:val="24"/>
          <w:szCs w:val="24"/>
        </w:rPr>
        <w:t xml:space="preserve">    </w:t>
      </w:r>
    </w:p>
    <w:p w14:paraId="7AA9C0D2" w14:textId="3FCEFA11" w:rsidR="007F3991" w:rsidRPr="00117651" w:rsidRDefault="007F3991" w:rsidP="007F3991">
      <w:pPr>
        <w:pStyle w:val="ListParagraph"/>
        <w:numPr>
          <w:ilvl w:val="0"/>
          <w:numId w:val="1"/>
        </w:numPr>
        <w:rPr>
          <w:rFonts w:ascii="Trebuchet MS" w:hAnsi="Trebuchet MS"/>
        </w:rPr>
      </w:pPr>
      <w:r w:rsidRPr="00117651">
        <w:rPr>
          <w:rFonts w:ascii="Trebuchet MS" w:hAnsi="Trebuchet MS"/>
        </w:rPr>
        <w:t xml:space="preserve">If there are </w:t>
      </w:r>
      <w:r w:rsidRPr="00746265">
        <w:rPr>
          <w:rFonts w:ascii="Trebuchet MS" w:hAnsi="Trebuchet MS"/>
          <w:b/>
          <w:color w:val="00B050"/>
        </w:rPr>
        <w:t>schools and places of worship</w:t>
      </w:r>
      <w:r w:rsidRPr="00746265">
        <w:rPr>
          <w:rFonts w:ascii="Trebuchet MS" w:hAnsi="Trebuchet MS"/>
          <w:color w:val="00B050"/>
        </w:rPr>
        <w:t xml:space="preserve"> </w:t>
      </w:r>
      <w:r w:rsidRPr="00117651">
        <w:rPr>
          <w:rFonts w:ascii="Trebuchet MS" w:hAnsi="Trebuchet MS"/>
        </w:rPr>
        <w:t>within 500 metres of the facility or if there is likely to be an obstruction to transport systems.</w:t>
      </w:r>
      <w:r w:rsidR="005C3EBA">
        <w:rPr>
          <w:rFonts w:ascii="Trebuchet MS" w:hAnsi="Trebuchet MS"/>
        </w:rPr>
        <w:t xml:space="preserve"> </w:t>
      </w:r>
      <w:r w:rsidR="00EE24DC">
        <w:rPr>
          <w:rFonts w:ascii="Trebuchet MS" w:hAnsi="Trebuchet MS"/>
        </w:rPr>
        <w:t>(</w:t>
      </w:r>
      <w:r w:rsidR="005C3EBA">
        <w:rPr>
          <w:rFonts w:ascii="Trebuchet MS" w:hAnsi="Trebuchet MS"/>
        </w:rPr>
        <w:t>The Liquor Act of 2003 states a 1 kilometre radius of these institutions</w:t>
      </w:r>
      <w:r w:rsidR="00EE24DC">
        <w:rPr>
          <w:rFonts w:ascii="Trebuchet MS" w:hAnsi="Trebuchet MS"/>
        </w:rPr>
        <w:t>).</w:t>
      </w:r>
      <w:r w:rsidR="005C3EBA">
        <w:rPr>
          <w:rFonts w:ascii="Trebuchet MS" w:hAnsi="Trebuchet MS"/>
        </w:rPr>
        <w:t xml:space="preserve">   </w:t>
      </w:r>
      <w:r w:rsidRPr="00117651">
        <w:rPr>
          <w:rFonts w:ascii="Trebuchet MS" w:hAnsi="Trebuchet MS"/>
        </w:rPr>
        <w:t xml:space="preserve">  </w:t>
      </w:r>
    </w:p>
    <w:p w14:paraId="5D57235C" w14:textId="4F46C563" w:rsidR="007F3991" w:rsidRPr="00117651" w:rsidRDefault="007F3991" w:rsidP="007F3991">
      <w:pPr>
        <w:pStyle w:val="ListParagraph"/>
        <w:numPr>
          <w:ilvl w:val="0"/>
          <w:numId w:val="1"/>
        </w:numPr>
        <w:rPr>
          <w:rFonts w:ascii="Trebuchet MS" w:hAnsi="Trebuchet MS"/>
        </w:rPr>
      </w:pPr>
      <w:r w:rsidRPr="00117651">
        <w:rPr>
          <w:rFonts w:ascii="Trebuchet MS" w:hAnsi="Trebuchet MS"/>
        </w:rPr>
        <w:t xml:space="preserve">If the </w:t>
      </w:r>
      <w:r w:rsidRPr="00746265">
        <w:rPr>
          <w:rFonts w:ascii="Trebuchet MS" w:hAnsi="Trebuchet MS"/>
          <w:b/>
          <w:color w:val="00B050"/>
        </w:rPr>
        <w:t>area is already well served by similar licensed establishments</w:t>
      </w:r>
      <w:r w:rsidRPr="00117651">
        <w:rPr>
          <w:rFonts w:ascii="Trebuchet MS" w:hAnsi="Trebuchet MS"/>
        </w:rPr>
        <w:t xml:space="preserve">. Here a distinction is drawn between liquor stores (consumption of liquor off the premises) and consumption on the premises e.g. restaurants, pubs, </w:t>
      </w:r>
      <w:r w:rsidR="005C3EBA">
        <w:rPr>
          <w:rFonts w:ascii="Trebuchet MS" w:hAnsi="Trebuchet MS"/>
        </w:rPr>
        <w:t xml:space="preserve">night clubs, taverns. Each of these are described in the Act.  </w:t>
      </w:r>
      <w:r w:rsidRPr="00117651">
        <w:rPr>
          <w:rFonts w:ascii="Trebuchet MS" w:hAnsi="Trebuchet MS"/>
        </w:rPr>
        <w:t xml:space="preserve">     </w:t>
      </w:r>
    </w:p>
    <w:p w14:paraId="37070BAC" w14:textId="67A614BE" w:rsidR="00117651" w:rsidRDefault="007F3991" w:rsidP="00117651">
      <w:pPr>
        <w:pStyle w:val="ListParagraph"/>
        <w:numPr>
          <w:ilvl w:val="0"/>
          <w:numId w:val="1"/>
        </w:numPr>
        <w:rPr>
          <w:rFonts w:ascii="Trebuchet MS" w:hAnsi="Trebuchet MS"/>
        </w:rPr>
      </w:pPr>
      <w:r w:rsidRPr="00117651">
        <w:rPr>
          <w:rFonts w:ascii="Trebuchet MS" w:hAnsi="Trebuchet MS"/>
        </w:rPr>
        <w:t xml:space="preserve">The </w:t>
      </w:r>
      <w:r w:rsidRPr="00746265">
        <w:rPr>
          <w:rFonts w:ascii="Trebuchet MS" w:hAnsi="Trebuchet MS"/>
          <w:b/>
          <w:color w:val="00B050"/>
        </w:rPr>
        <w:t>premises must be suitable and meet the standards</w:t>
      </w:r>
      <w:r w:rsidRPr="00746265">
        <w:rPr>
          <w:rFonts w:ascii="Trebuchet MS" w:hAnsi="Trebuchet MS"/>
          <w:color w:val="00B050"/>
        </w:rPr>
        <w:t xml:space="preserve"> </w:t>
      </w:r>
      <w:r w:rsidRPr="00117651">
        <w:rPr>
          <w:rFonts w:ascii="Trebuchet MS" w:hAnsi="Trebuchet MS"/>
        </w:rPr>
        <w:t xml:space="preserve">of the </w:t>
      </w:r>
      <w:r w:rsidR="00B159DF" w:rsidRPr="00117651">
        <w:rPr>
          <w:rFonts w:ascii="Trebuchet MS" w:hAnsi="Trebuchet MS"/>
        </w:rPr>
        <w:t>various departments of the City of Johannesburg such as the D</w:t>
      </w:r>
      <w:r w:rsidRPr="00117651">
        <w:rPr>
          <w:rFonts w:ascii="Trebuchet MS" w:hAnsi="Trebuchet MS"/>
        </w:rPr>
        <w:t>epartment of Health and Environment</w:t>
      </w:r>
      <w:r w:rsidR="00B159DF" w:rsidRPr="00117651">
        <w:rPr>
          <w:rFonts w:ascii="Trebuchet MS" w:hAnsi="Trebuchet MS"/>
        </w:rPr>
        <w:t xml:space="preserve"> (e.g. </w:t>
      </w:r>
      <w:proofErr w:type="gramStart"/>
      <w:r w:rsidR="00B159DF" w:rsidRPr="00117651">
        <w:rPr>
          <w:rFonts w:ascii="Trebuchet MS" w:hAnsi="Trebuchet MS"/>
        </w:rPr>
        <w:t>in regard to</w:t>
      </w:r>
      <w:proofErr w:type="gramEnd"/>
      <w:r w:rsidR="00B159DF" w:rsidRPr="00117651">
        <w:rPr>
          <w:rFonts w:ascii="Trebuchet MS" w:hAnsi="Trebuchet MS"/>
        </w:rPr>
        <w:t xml:space="preserve"> the </w:t>
      </w:r>
      <w:r w:rsidR="00452342" w:rsidRPr="00117651">
        <w:rPr>
          <w:rFonts w:ascii="Trebuchet MS" w:hAnsi="Trebuchet MS"/>
        </w:rPr>
        <w:t xml:space="preserve">space for the </w:t>
      </w:r>
      <w:r w:rsidR="00B159DF" w:rsidRPr="00117651">
        <w:rPr>
          <w:rFonts w:ascii="Trebuchet MS" w:hAnsi="Trebuchet MS"/>
        </w:rPr>
        <w:t>kitchen</w:t>
      </w:r>
      <w:r w:rsidR="00452342" w:rsidRPr="00117651">
        <w:rPr>
          <w:rFonts w:ascii="Trebuchet MS" w:hAnsi="Trebuchet MS"/>
        </w:rPr>
        <w:t xml:space="preserve"> and preparation of food; the meeting of safety standards, fire proofing and sound proofing where </w:t>
      </w:r>
      <w:r w:rsidR="005C3EBA">
        <w:rPr>
          <w:rFonts w:ascii="Trebuchet MS" w:hAnsi="Trebuchet MS"/>
        </w:rPr>
        <w:t>the</w:t>
      </w:r>
      <w:r w:rsidR="00452342" w:rsidRPr="00117651">
        <w:rPr>
          <w:rFonts w:ascii="Trebuchet MS" w:hAnsi="Trebuchet MS"/>
        </w:rPr>
        <w:t xml:space="preserve"> appl</w:t>
      </w:r>
      <w:r w:rsidR="005C3EBA">
        <w:rPr>
          <w:rFonts w:ascii="Trebuchet MS" w:hAnsi="Trebuchet MS"/>
        </w:rPr>
        <w:t>ication is</w:t>
      </w:r>
      <w:r w:rsidR="00452342" w:rsidRPr="00117651">
        <w:rPr>
          <w:rFonts w:ascii="Trebuchet MS" w:hAnsi="Trebuchet MS"/>
        </w:rPr>
        <w:t xml:space="preserve"> for</w:t>
      </w:r>
      <w:r w:rsidR="005C3EBA">
        <w:rPr>
          <w:rFonts w:ascii="Trebuchet MS" w:hAnsi="Trebuchet MS"/>
        </w:rPr>
        <w:t xml:space="preserve"> an</w:t>
      </w:r>
      <w:r w:rsidR="00452342" w:rsidRPr="00117651">
        <w:rPr>
          <w:rFonts w:ascii="Trebuchet MS" w:hAnsi="Trebuchet MS"/>
        </w:rPr>
        <w:t xml:space="preserve"> entertainment license)</w:t>
      </w:r>
      <w:r w:rsidR="00B159DF" w:rsidRPr="00117651">
        <w:rPr>
          <w:rFonts w:ascii="Trebuchet MS" w:hAnsi="Trebuchet MS"/>
        </w:rPr>
        <w:t>;</w:t>
      </w:r>
      <w:r w:rsidRPr="00117651">
        <w:rPr>
          <w:rFonts w:ascii="Trebuchet MS" w:hAnsi="Trebuchet MS"/>
        </w:rPr>
        <w:t xml:space="preserve"> </w:t>
      </w:r>
      <w:r w:rsidR="00B159DF" w:rsidRPr="00117651">
        <w:rPr>
          <w:rFonts w:ascii="Trebuchet MS" w:hAnsi="Trebuchet MS"/>
        </w:rPr>
        <w:t xml:space="preserve">and the Department of Development Planning where </w:t>
      </w:r>
      <w:r w:rsidR="00B159DF" w:rsidRPr="00746265">
        <w:rPr>
          <w:rFonts w:ascii="Trebuchet MS" w:hAnsi="Trebuchet MS"/>
          <w:b/>
          <w:color w:val="00B050"/>
        </w:rPr>
        <w:t>rezoning of the property</w:t>
      </w:r>
      <w:r w:rsidR="00B159DF" w:rsidRPr="00746265">
        <w:rPr>
          <w:rFonts w:ascii="Trebuchet MS" w:hAnsi="Trebuchet MS"/>
          <w:color w:val="00B050"/>
        </w:rPr>
        <w:t xml:space="preserve"> </w:t>
      </w:r>
      <w:r w:rsidR="00B159DF" w:rsidRPr="00117651">
        <w:rPr>
          <w:rFonts w:ascii="Trebuchet MS" w:hAnsi="Trebuchet MS"/>
        </w:rPr>
        <w:t>is required.</w:t>
      </w:r>
      <w:r w:rsidR="00117651" w:rsidRPr="00117651">
        <w:rPr>
          <w:rFonts w:ascii="Trebuchet MS" w:hAnsi="Trebuchet MS"/>
        </w:rPr>
        <w:t xml:space="preserve">  </w:t>
      </w:r>
    </w:p>
    <w:p w14:paraId="16524F11" w14:textId="511A9E3A" w:rsidR="00117651" w:rsidRPr="00117651" w:rsidRDefault="00117651" w:rsidP="00117651">
      <w:pPr>
        <w:pStyle w:val="ListParagraph"/>
        <w:numPr>
          <w:ilvl w:val="0"/>
          <w:numId w:val="1"/>
        </w:numPr>
        <w:rPr>
          <w:rFonts w:ascii="Trebuchet MS" w:hAnsi="Trebuchet MS"/>
        </w:rPr>
      </w:pPr>
      <w:r w:rsidRPr="00117651">
        <w:rPr>
          <w:rFonts w:ascii="Trebuchet MS" w:hAnsi="Trebuchet MS"/>
        </w:rPr>
        <w:lastRenderedPageBreak/>
        <w:t xml:space="preserve">If it is a facility that </w:t>
      </w:r>
      <w:r w:rsidRPr="00746265">
        <w:rPr>
          <w:rFonts w:ascii="Trebuchet MS" w:hAnsi="Trebuchet MS"/>
          <w:b/>
          <w:color w:val="00B050"/>
        </w:rPr>
        <w:t>offers entertainment</w:t>
      </w:r>
      <w:r w:rsidRPr="00117651">
        <w:rPr>
          <w:rFonts w:ascii="Trebuchet MS" w:hAnsi="Trebuchet MS"/>
        </w:rPr>
        <w:t xml:space="preserve"> and is likely to have loud music, this is also grounds for objection. Generally</w:t>
      </w:r>
      <w:r w:rsidRPr="00117651">
        <w:rPr>
          <w:rFonts w:ascii="Helvetica" w:eastAsia="Times New Roman" w:hAnsi="Helvetica" w:cs="Helvetica"/>
          <w:color w:val="303E48"/>
          <w:lang w:eastAsia="en-ZA"/>
        </w:rPr>
        <w:t xml:space="preserve"> </w:t>
      </w:r>
      <w:r w:rsidRPr="005C3EBA">
        <w:rPr>
          <w:rFonts w:ascii="Helvetica" w:eastAsia="Times New Roman" w:hAnsi="Helvetica" w:cs="Helvetica"/>
          <w:lang w:eastAsia="en-ZA"/>
        </w:rPr>
        <w:t>acceptable times in terms of the relevant bylaws for loud music would be Sunday to Thursday till 22:00 and Friday &amp; Saturday till 00:00.</w:t>
      </w:r>
      <w:r w:rsidRPr="00117651">
        <w:rPr>
          <w:rFonts w:ascii="Trebuchet MS" w:hAnsi="Trebuchet MS"/>
        </w:rPr>
        <w:t xml:space="preserve">  </w:t>
      </w:r>
    </w:p>
    <w:p w14:paraId="26792882" w14:textId="477FB65F" w:rsidR="00E7428C" w:rsidRPr="00117651" w:rsidRDefault="00E7428C" w:rsidP="007F3991">
      <w:pPr>
        <w:pStyle w:val="ListParagraph"/>
        <w:numPr>
          <w:ilvl w:val="0"/>
          <w:numId w:val="1"/>
        </w:numPr>
        <w:rPr>
          <w:rFonts w:ascii="Trebuchet MS" w:hAnsi="Trebuchet MS"/>
        </w:rPr>
      </w:pPr>
      <w:r w:rsidRPr="00117651">
        <w:rPr>
          <w:rFonts w:ascii="Trebuchet MS" w:hAnsi="Trebuchet MS"/>
        </w:rPr>
        <w:t xml:space="preserve">There should adequate provision of </w:t>
      </w:r>
      <w:r w:rsidRPr="00746265">
        <w:rPr>
          <w:rFonts w:ascii="Trebuchet MS" w:hAnsi="Trebuchet MS"/>
          <w:b/>
          <w:color w:val="00B050"/>
        </w:rPr>
        <w:t>toilets and parking</w:t>
      </w:r>
      <w:r w:rsidR="00452342" w:rsidRPr="00117651">
        <w:rPr>
          <w:rFonts w:ascii="Trebuchet MS" w:hAnsi="Trebuchet MS"/>
        </w:rPr>
        <w:t>.</w:t>
      </w:r>
      <w:r w:rsidRPr="00117651">
        <w:rPr>
          <w:rFonts w:ascii="Trebuchet MS" w:hAnsi="Trebuchet MS"/>
        </w:rPr>
        <w:t xml:space="preserve"> </w:t>
      </w:r>
    </w:p>
    <w:p w14:paraId="6AB8C957" w14:textId="3FE26869" w:rsidR="00C93BFC" w:rsidRPr="00117651" w:rsidRDefault="00B159DF" w:rsidP="007F3991">
      <w:pPr>
        <w:pStyle w:val="ListParagraph"/>
        <w:numPr>
          <w:ilvl w:val="0"/>
          <w:numId w:val="1"/>
        </w:numPr>
        <w:rPr>
          <w:rFonts w:ascii="Trebuchet MS" w:hAnsi="Trebuchet MS"/>
        </w:rPr>
      </w:pPr>
      <w:r w:rsidRPr="00117651">
        <w:rPr>
          <w:rFonts w:ascii="Trebuchet MS" w:hAnsi="Trebuchet MS"/>
        </w:rPr>
        <w:t xml:space="preserve">The applicant must be of </w:t>
      </w:r>
      <w:r w:rsidRPr="00746265">
        <w:rPr>
          <w:rFonts w:ascii="Trebuchet MS" w:hAnsi="Trebuchet MS"/>
          <w:b/>
          <w:color w:val="00B050"/>
        </w:rPr>
        <w:t>sound character</w:t>
      </w:r>
      <w:r w:rsidRPr="00746265">
        <w:rPr>
          <w:rFonts w:ascii="Trebuchet MS" w:hAnsi="Trebuchet MS"/>
          <w:color w:val="00B050"/>
        </w:rPr>
        <w:t xml:space="preserve"> </w:t>
      </w:r>
      <w:r w:rsidRPr="00117651">
        <w:rPr>
          <w:rFonts w:ascii="Trebuchet MS" w:hAnsi="Trebuchet MS"/>
        </w:rPr>
        <w:t>and fit to hold a license</w:t>
      </w:r>
      <w:r w:rsidR="005C3EBA">
        <w:rPr>
          <w:rFonts w:ascii="Trebuchet MS" w:hAnsi="Trebuchet MS"/>
        </w:rPr>
        <w:t xml:space="preserve">. In addition, the applicant </w:t>
      </w:r>
      <w:r w:rsidRPr="00117651">
        <w:rPr>
          <w:rFonts w:ascii="Trebuchet MS" w:hAnsi="Trebuchet MS"/>
        </w:rPr>
        <w:t xml:space="preserve">should not have been convicted of an offence in general and in terms of the ‘liquor laws’. </w:t>
      </w:r>
    </w:p>
    <w:p w14:paraId="1113D6C6" w14:textId="385F93AC" w:rsidR="007F3991" w:rsidRPr="00117651" w:rsidRDefault="00C93BFC" w:rsidP="007F3991">
      <w:pPr>
        <w:pStyle w:val="ListParagraph"/>
        <w:numPr>
          <w:ilvl w:val="0"/>
          <w:numId w:val="1"/>
        </w:numPr>
        <w:rPr>
          <w:rFonts w:ascii="Trebuchet MS" w:hAnsi="Trebuchet MS"/>
        </w:rPr>
      </w:pPr>
      <w:r w:rsidRPr="00117651">
        <w:rPr>
          <w:rFonts w:ascii="Trebuchet MS" w:hAnsi="Trebuchet MS"/>
        </w:rPr>
        <w:t xml:space="preserve">The </w:t>
      </w:r>
      <w:r w:rsidRPr="00746265">
        <w:rPr>
          <w:rFonts w:ascii="Trebuchet MS" w:hAnsi="Trebuchet MS"/>
          <w:b/>
          <w:color w:val="00B050"/>
        </w:rPr>
        <w:t>names, identity numbers and addresses of every person</w:t>
      </w:r>
      <w:r w:rsidRPr="00746265">
        <w:rPr>
          <w:rFonts w:ascii="Trebuchet MS" w:hAnsi="Trebuchet MS"/>
          <w:color w:val="00B050"/>
        </w:rPr>
        <w:t xml:space="preserve"> </w:t>
      </w:r>
      <w:r w:rsidRPr="00117651">
        <w:rPr>
          <w:rFonts w:ascii="Trebuchet MS" w:hAnsi="Trebuchet MS"/>
        </w:rPr>
        <w:t xml:space="preserve">who has a financial interest in the business and the nature and extent of their financial interests must be disclosed.  </w:t>
      </w:r>
      <w:r w:rsidR="00B159DF" w:rsidRPr="00117651">
        <w:rPr>
          <w:rFonts w:ascii="Trebuchet MS" w:hAnsi="Trebuchet MS"/>
        </w:rPr>
        <w:t xml:space="preserve"> </w:t>
      </w:r>
    </w:p>
    <w:p w14:paraId="15C92174" w14:textId="18BD6834" w:rsidR="00C93BFC" w:rsidRPr="00117651" w:rsidRDefault="00C93BFC" w:rsidP="007F3991">
      <w:pPr>
        <w:pStyle w:val="ListParagraph"/>
        <w:numPr>
          <w:ilvl w:val="0"/>
          <w:numId w:val="1"/>
        </w:numPr>
        <w:rPr>
          <w:rFonts w:ascii="Trebuchet MS" w:hAnsi="Trebuchet MS"/>
        </w:rPr>
      </w:pPr>
      <w:r w:rsidRPr="00117651">
        <w:rPr>
          <w:rFonts w:ascii="Trebuchet MS" w:hAnsi="Trebuchet MS"/>
        </w:rPr>
        <w:t xml:space="preserve">The applicant </w:t>
      </w:r>
      <w:r w:rsidR="00EE24DC">
        <w:rPr>
          <w:rFonts w:ascii="Trebuchet MS" w:hAnsi="Trebuchet MS"/>
        </w:rPr>
        <w:t>must show that he/she/entity</w:t>
      </w:r>
      <w:r w:rsidRPr="00117651">
        <w:rPr>
          <w:rFonts w:ascii="Trebuchet MS" w:hAnsi="Trebuchet MS"/>
        </w:rPr>
        <w:t xml:space="preserve"> has the </w:t>
      </w:r>
      <w:r w:rsidRPr="00746265">
        <w:rPr>
          <w:rFonts w:ascii="Trebuchet MS" w:hAnsi="Trebuchet MS"/>
          <w:b/>
          <w:color w:val="00B050"/>
        </w:rPr>
        <w:t>right to occupy the premises</w:t>
      </w:r>
      <w:r w:rsidRPr="00746265">
        <w:rPr>
          <w:rFonts w:ascii="Trebuchet MS" w:hAnsi="Trebuchet MS"/>
          <w:color w:val="00B050"/>
        </w:rPr>
        <w:t xml:space="preserve"> </w:t>
      </w:r>
      <w:r w:rsidRPr="00117651">
        <w:rPr>
          <w:rFonts w:ascii="Trebuchet MS" w:hAnsi="Trebuchet MS"/>
        </w:rPr>
        <w:t>in respect of which the liquor licence is sought.</w:t>
      </w:r>
    </w:p>
    <w:p w14:paraId="234C8445" w14:textId="77777777" w:rsidR="00117651" w:rsidRDefault="00117651" w:rsidP="007015B2">
      <w:pPr>
        <w:rPr>
          <w:rFonts w:ascii="Trebuchet MS" w:hAnsi="Trebuchet MS"/>
          <w:b/>
          <w:color w:val="00B050"/>
          <w:sz w:val="24"/>
          <w:szCs w:val="24"/>
        </w:rPr>
      </w:pPr>
    </w:p>
    <w:p w14:paraId="1ABD7D97" w14:textId="35549FC4" w:rsidR="007015B2" w:rsidRDefault="001D3FD4" w:rsidP="007015B2">
      <w:pPr>
        <w:rPr>
          <w:rFonts w:ascii="Trebuchet MS" w:hAnsi="Trebuchet MS"/>
          <w:b/>
          <w:color w:val="00B050"/>
          <w:sz w:val="24"/>
          <w:szCs w:val="24"/>
        </w:rPr>
      </w:pPr>
      <w:r>
        <w:rPr>
          <w:rFonts w:ascii="Trebuchet MS" w:hAnsi="Trebuchet MS"/>
          <w:b/>
          <w:color w:val="00B050"/>
          <w:sz w:val="24"/>
          <w:szCs w:val="24"/>
        </w:rPr>
        <w:t>Steps to follow</w:t>
      </w:r>
      <w:r w:rsidR="00117651">
        <w:rPr>
          <w:rFonts w:ascii="Trebuchet MS" w:hAnsi="Trebuchet MS"/>
          <w:b/>
          <w:color w:val="00B050"/>
          <w:sz w:val="24"/>
          <w:szCs w:val="24"/>
        </w:rPr>
        <w:t xml:space="preserve"> when lodging an objection </w:t>
      </w:r>
      <w:r>
        <w:rPr>
          <w:rFonts w:ascii="Trebuchet MS" w:hAnsi="Trebuchet MS"/>
          <w:b/>
          <w:color w:val="00B050"/>
          <w:sz w:val="24"/>
          <w:szCs w:val="24"/>
        </w:rPr>
        <w:t xml:space="preserve"> </w:t>
      </w:r>
    </w:p>
    <w:p w14:paraId="355359B3" w14:textId="61740C76" w:rsidR="00EE24DC" w:rsidRPr="00EE24DC" w:rsidRDefault="00A70590" w:rsidP="007015B2">
      <w:pPr>
        <w:pStyle w:val="ListParagraph"/>
        <w:numPr>
          <w:ilvl w:val="0"/>
          <w:numId w:val="11"/>
        </w:numPr>
        <w:rPr>
          <w:rFonts w:ascii="Trebuchet MS" w:hAnsi="Trebuchet MS"/>
          <w:b/>
          <w:sz w:val="24"/>
          <w:szCs w:val="24"/>
        </w:rPr>
      </w:pPr>
      <w:r w:rsidRPr="00746265">
        <w:rPr>
          <w:rFonts w:ascii="Trebuchet MS" w:hAnsi="Trebuchet MS"/>
          <w:b/>
          <w:color w:val="00B050"/>
        </w:rPr>
        <w:t>Notification of application for a license</w:t>
      </w:r>
      <w:r>
        <w:rPr>
          <w:rFonts w:ascii="Trebuchet MS" w:hAnsi="Trebuchet MS"/>
        </w:rPr>
        <w:t xml:space="preserve">: </w:t>
      </w:r>
      <w:r w:rsidR="001D3FD4" w:rsidRPr="00EE24DC">
        <w:rPr>
          <w:rFonts w:ascii="Trebuchet MS" w:hAnsi="Trebuchet MS"/>
        </w:rPr>
        <w:t xml:space="preserve">Application for liquor licenses are </w:t>
      </w:r>
      <w:r w:rsidR="001D3FD4" w:rsidRPr="00EE24DC">
        <w:rPr>
          <w:rFonts w:ascii="Trebuchet MS" w:hAnsi="Trebuchet MS"/>
          <w:b/>
        </w:rPr>
        <w:t>published in an Extraordinary Government Gazette</w:t>
      </w:r>
      <w:r w:rsidR="001D3FD4" w:rsidRPr="00EE24DC">
        <w:rPr>
          <w:rFonts w:ascii="Trebuchet MS" w:hAnsi="Trebuchet MS"/>
        </w:rPr>
        <w:t xml:space="preserve"> usually on the first Wednesday of the month.</w:t>
      </w:r>
      <w:r w:rsidR="00117651" w:rsidRPr="00EE24DC">
        <w:rPr>
          <w:rFonts w:ascii="Trebuchet MS" w:hAnsi="Trebuchet MS"/>
        </w:rPr>
        <w:t xml:space="preserve"> </w:t>
      </w:r>
      <w:r w:rsidR="001D3FD4" w:rsidRPr="00EE24DC">
        <w:rPr>
          <w:rFonts w:ascii="Trebuchet MS" w:hAnsi="Trebuchet MS"/>
        </w:rPr>
        <w:t xml:space="preserve">Look out in the </w:t>
      </w:r>
      <w:r w:rsidR="001D3FD4" w:rsidRPr="00EE24DC">
        <w:rPr>
          <w:rFonts w:ascii="Trebuchet MS" w:hAnsi="Trebuchet MS"/>
          <w:b/>
        </w:rPr>
        <w:t>local media</w:t>
      </w:r>
      <w:r w:rsidR="001D3FD4" w:rsidRPr="00EE24DC">
        <w:rPr>
          <w:rFonts w:ascii="Trebuchet MS" w:hAnsi="Trebuchet MS"/>
        </w:rPr>
        <w:t xml:space="preserve"> as the applicant also needs to publish </w:t>
      </w:r>
      <w:r w:rsidR="007015B2" w:rsidRPr="00EE24DC">
        <w:rPr>
          <w:rFonts w:ascii="Trebuchet MS" w:hAnsi="Trebuchet MS"/>
        </w:rPr>
        <w:t>their</w:t>
      </w:r>
      <w:r w:rsidR="001D3FD4" w:rsidRPr="00EE24DC">
        <w:rPr>
          <w:rFonts w:ascii="Trebuchet MS" w:hAnsi="Trebuchet MS"/>
        </w:rPr>
        <w:t xml:space="preserve"> intention to apply for a license. </w:t>
      </w:r>
    </w:p>
    <w:p w14:paraId="38BA7521" w14:textId="2AE1B814" w:rsidR="00EE24DC" w:rsidRPr="00EE24DC" w:rsidRDefault="00EE24DC" w:rsidP="007015B2">
      <w:pPr>
        <w:pStyle w:val="ListParagraph"/>
        <w:numPr>
          <w:ilvl w:val="0"/>
          <w:numId w:val="11"/>
        </w:numPr>
        <w:rPr>
          <w:rFonts w:ascii="Trebuchet MS" w:hAnsi="Trebuchet MS"/>
          <w:b/>
          <w:sz w:val="24"/>
          <w:szCs w:val="24"/>
        </w:rPr>
      </w:pPr>
      <w:r>
        <w:rPr>
          <w:rFonts w:ascii="Trebuchet MS" w:hAnsi="Trebuchet MS"/>
        </w:rPr>
        <w:t xml:space="preserve">A </w:t>
      </w:r>
      <w:r w:rsidRPr="00746265">
        <w:rPr>
          <w:rFonts w:ascii="Trebuchet MS" w:hAnsi="Trebuchet MS"/>
          <w:b/>
          <w:color w:val="00B050"/>
        </w:rPr>
        <w:t>notice of intention to apply must be affixed to the property</w:t>
      </w:r>
      <w:r>
        <w:rPr>
          <w:rFonts w:ascii="Trebuchet MS" w:hAnsi="Trebuchet MS"/>
        </w:rPr>
        <w:t xml:space="preserve">. </w:t>
      </w:r>
    </w:p>
    <w:p w14:paraId="7E5127C8" w14:textId="3F712E6F" w:rsidR="007015B2" w:rsidRPr="00EE24DC" w:rsidRDefault="00EE24DC" w:rsidP="007015B2">
      <w:pPr>
        <w:pStyle w:val="ListParagraph"/>
        <w:numPr>
          <w:ilvl w:val="0"/>
          <w:numId w:val="11"/>
        </w:numPr>
        <w:rPr>
          <w:rFonts w:ascii="Trebuchet MS" w:hAnsi="Trebuchet MS"/>
          <w:b/>
          <w:sz w:val="24"/>
          <w:szCs w:val="24"/>
        </w:rPr>
      </w:pPr>
      <w:r>
        <w:rPr>
          <w:rFonts w:ascii="Trebuchet MS" w:hAnsi="Trebuchet MS"/>
        </w:rPr>
        <w:t xml:space="preserve">If the above steps have not been followed, then this must be pointed out in the objection.        </w:t>
      </w:r>
      <w:r w:rsidR="001D3FD4" w:rsidRPr="00EE24DC">
        <w:rPr>
          <w:rFonts w:ascii="Trebuchet MS" w:hAnsi="Trebuchet MS"/>
        </w:rPr>
        <w:t xml:space="preserve">     </w:t>
      </w:r>
    </w:p>
    <w:p w14:paraId="3CA79338" w14:textId="2BC801AE" w:rsidR="001D3FD4" w:rsidRPr="00EE24DC" w:rsidRDefault="00A70590" w:rsidP="007015B2">
      <w:pPr>
        <w:pStyle w:val="ListParagraph"/>
        <w:numPr>
          <w:ilvl w:val="0"/>
          <w:numId w:val="11"/>
        </w:numPr>
        <w:rPr>
          <w:rFonts w:ascii="Trebuchet MS" w:hAnsi="Trebuchet MS"/>
          <w:b/>
          <w:sz w:val="24"/>
          <w:szCs w:val="24"/>
        </w:rPr>
      </w:pPr>
      <w:r w:rsidRPr="00746265">
        <w:rPr>
          <w:rFonts w:ascii="Trebuchet MS" w:eastAsia="Times New Roman" w:hAnsi="Trebuchet MS" w:cs="Helvetica"/>
          <w:b/>
          <w:color w:val="00B050"/>
          <w:lang w:eastAsia="en-ZA"/>
        </w:rPr>
        <w:t>Obtain full application</w:t>
      </w:r>
      <w:r>
        <w:rPr>
          <w:rFonts w:ascii="Trebuchet MS" w:eastAsia="Times New Roman" w:hAnsi="Trebuchet MS" w:cs="Helvetica"/>
          <w:lang w:eastAsia="en-ZA"/>
        </w:rPr>
        <w:t xml:space="preserve">: </w:t>
      </w:r>
      <w:r w:rsidR="001D3FD4" w:rsidRPr="00EE24DC">
        <w:rPr>
          <w:rFonts w:ascii="Trebuchet MS" w:eastAsia="Times New Roman" w:hAnsi="Trebuchet MS" w:cs="Helvetica"/>
          <w:lang w:eastAsia="en-ZA"/>
        </w:rPr>
        <w:t xml:space="preserve">Upon receipt of the notice to apply or intention to apply for a liquor licence, </w:t>
      </w:r>
      <w:r w:rsidR="00EE24DC">
        <w:rPr>
          <w:rFonts w:ascii="Trebuchet MS" w:eastAsia="Times New Roman" w:hAnsi="Trebuchet MS" w:cs="Helvetica"/>
          <w:lang w:eastAsia="en-ZA"/>
        </w:rPr>
        <w:t xml:space="preserve">the </w:t>
      </w:r>
      <w:r w:rsidR="00EE24DC" w:rsidRPr="00EE24DC">
        <w:rPr>
          <w:rFonts w:ascii="Trebuchet MS" w:eastAsia="Times New Roman" w:hAnsi="Trebuchet MS" w:cs="Helvetica"/>
          <w:b/>
          <w:lang w:eastAsia="en-ZA"/>
        </w:rPr>
        <w:t xml:space="preserve">objector </w:t>
      </w:r>
      <w:r w:rsidR="001D3FD4" w:rsidRPr="00EE24DC">
        <w:rPr>
          <w:rFonts w:ascii="Trebuchet MS" w:eastAsia="Times New Roman" w:hAnsi="Trebuchet MS" w:cs="Helvetica"/>
          <w:b/>
          <w:lang w:eastAsia="en-ZA"/>
        </w:rPr>
        <w:t>need</w:t>
      </w:r>
      <w:r>
        <w:rPr>
          <w:rFonts w:ascii="Trebuchet MS" w:eastAsia="Times New Roman" w:hAnsi="Trebuchet MS" w:cs="Helvetica"/>
          <w:b/>
          <w:lang w:eastAsia="en-ZA"/>
        </w:rPr>
        <w:t>s</w:t>
      </w:r>
      <w:r w:rsidR="001D3FD4" w:rsidRPr="00EE24DC">
        <w:rPr>
          <w:rFonts w:ascii="Trebuchet MS" w:eastAsia="Times New Roman" w:hAnsi="Trebuchet MS" w:cs="Helvetica"/>
          <w:b/>
          <w:lang w:eastAsia="en-ZA"/>
        </w:rPr>
        <w:t xml:space="preserve"> to contact the Gauteng Liquor Board</w:t>
      </w:r>
      <w:r w:rsidR="001D3FD4" w:rsidRPr="00EE24DC">
        <w:rPr>
          <w:rFonts w:ascii="Trebuchet MS" w:eastAsia="Times New Roman" w:hAnsi="Trebuchet MS" w:cs="Helvetica"/>
          <w:lang w:eastAsia="en-ZA"/>
        </w:rPr>
        <w:t xml:space="preserve"> via phone or email to obtain the </w:t>
      </w:r>
      <w:r w:rsidR="001D3FD4" w:rsidRPr="00EE24DC">
        <w:rPr>
          <w:rFonts w:ascii="Trebuchet MS" w:eastAsia="Times New Roman" w:hAnsi="Trebuchet MS" w:cs="Helvetica"/>
          <w:b/>
          <w:lang w:eastAsia="en-ZA"/>
        </w:rPr>
        <w:t>full application</w:t>
      </w:r>
      <w:r w:rsidR="001D3FD4" w:rsidRPr="00EE24DC">
        <w:rPr>
          <w:rFonts w:ascii="Trebuchet MS" w:eastAsia="Times New Roman" w:hAnsi="Trebuchet MS" w:cs="Helvetica"/>
          <w:lang w:eastAsia="en-ZA"/>
        </w:rPr>
        <w:t xml:space="preserve"> with all the relevant information. Once you have this and have studied it, you will decide on whether to object or not</w:t>
      </w:r>
      <w:r w:rsidR="00EE24DC">
        <w:rPr>
          <w:rFonts w:ascii="Trebuchet MS" w:eastAsia="Times New Roman" w:hAnsi="Trebuchet MS" w:cs="Helvetica"/>
          <w:lang w:eastAsia="en-ZA"/>
        </w:rPr>
        <w:t>,</w:t>
      </w:r>
      <w:r w:rsidR="001D3FD4" w:rsidRPr="00EE24DC">
        <w:rPr>
          <w:rFonts w:ascii="Trebuchet MS" w:eastAsia="Times New Roman" w:hAnsi="Trebuchet MS" w:cs="Helvetica"/>
          <w:lang w:eastAsia="en-ZA"/>
        </w:rPr>
        <w:t xml:space="preserve"> and on what grounds you will do so. On confirmation of the application received, there is a </w:t>
      </w:r>
      <w:proofErr w:type="gramStart"/>
      <w:r w:rsidR="001D3FD4" w:rsidRPr="00EE24DC">
        <w:rPr>
          <w:rFonts w:ascii="Trebuchet MS" w:eastAsia="Times New Roman" w:hAnsi="Trebuchet MS" w:cs="Helvetica"/>
          <w:lang w:eastAsia="en-ZA"/>
        </w:rPr>
        <w:t>21 calendar</w:t>
      </w:r>
      <w:proofErr w:type="gramEnd"/>
      <w:r w:rsidR="001D3FD4" w:rsidRPr="00EE24DC">
        <w:rPr>
          <w:rFonts w:ascii="Trebuchet MS" w:eastAsia="Times New Roman" w:hAnsi="Trebuchet MS" w:cs="Helvetica"/>
          <w:lang w:eastAsia="en-ZA"/>
        </w:rPr>
        <w:t xml:space="preserve"> day period in which to object.</w:t>
      </w:r>
    </w:p>
    <w:p w14:paraId="03C7B020" w14:textId="6BA11843" w:rsidR="001D3FD4" w:rsidRPr="00EE24DC" w:rsidRDefault="00A70590" w:rsidP="001D3FD4">
      <w:pPr>
        <w:numPr>
          <w:ilvl w:val="0"/>
          <w:numId w:val="5"/>
        </w:numPr>
        <w:shd w:val="clear" w:color="auto" w:fill="FFFFFF"/>
        <w:spacing w:after="0" w:line="240" w:lineRule="auto"/>
        <w:ind w:left="360"/>
        <w:rPr>
          <w:rFonts w:ascii="Trebuchet MS" w:eastAsia="Times New Roman" w:hAnsi="Trebuchet MS" w:cs="Helvetica"/>
          <w:lang w:eastAsia="en-ZA"/>
        </w:rPr>
      </w:pPr>
      <w:r w:rsidRPr="00746265">
        <w:rPr>
          <w:rFonts w:ascii="Trebuchet MS" w:eastAsia="Times New Roman" w:hAnsi="Trebuchet MS" w:cs="Helvetica"/>
          <w:b/>
          <w:color w:val="00B050"/>
          <w:lang w:eastAsia="en-ZA"/>
        </w:rPr>
        <w:t>Inform applicant of objection</w:t>
      </w:r>
      <w:r>
        <w:rPr>
          <w:rFonts w:ascii="Trebuchet MS" w:eastAsia="Times New Roman" w:hAnsi="Trebuchet MS" w:cs="Helvetica"/>
          <w:lang w:eastAsia="en-ZA"/>
        </w:rPr>
        <w:t xml:space="preserve">: </w:t>
      </w:r>
      <w:r w:rsidR="001D3FD4" w:rsidRPr="00EE24DC">
        <w:rPr>
          <w:rFonts w:ascii="Trebuchet MS" w:eastAsia="Times New Roman" w:hAnsi="Trebuchet MS" w:cs="Helvetica"/>
          <w:lang w:eastAsia="en-ZA"/>
        </w:rPr>
        <w:t xml:space="preserve">Interested parties that wish to object will need to submit an objection as soon as possible to </w:t>
      </w:r>
      <w:r w:rsidR="001D3FD4" w:rsidRPr="00EE24DC">
        <w:rPr>
          <w:rFonts w:ascii="Trebuchet MS" w:eastAsia="Times New Roman" w:hAnsi="Trebuchet MS" w:cs="Helvetica"/>
          <w:b/>
          <w:lang w:eastAsia="en-ZA"/>
        </w:rPr>
        <w:t>alert the applicant</w:t>
      </w:r>
      <w:r w:rsidR="001D3FD4" w:rsidRPr="00EE24DC">
        <w:rPr>
          <w:rFonts w:ascii="Trebuchet MS" w:eastAsia="Times New Roman" w:hAnsi="Trebuchet MS" w:cs="Helvetica"/>
          <w:lang w:eastAsia="en-ZA"/>
        </w:rPr>
        <w:t xml:space="preserve"> and hopefully invite a discussion.</w:t>
      </w:r>
    </w:p>
    <w:p w14:paraId="67BDA020" w14:textId="75E82E92" w:rsidR="000F6749" w:rsidRPr="00EE24DC" w:rsidRDefault="00A70590" w:rsidP="001D3FD4">
      <w:pPr>
        <w:numPr>
          <w:ilvl w:val="0"/>
          <w:numId w:val="5"/>
        </w:numPr>
        <w:shd w:val="clear" w:color="auto" w:fill="FFFFFF"/>
        <w:spacing w:after="0" w:line="240" w:lineRule="auto"/>
        <w:ind w:left="360"/>
        <w:rPr>
          <w:rFonts w:ascii="Trebuchet MS" w:eastAsia="Times New Roman" w:hAnsi="Trebuchet MS" w:cs="Helvetica"/>
          <w:lang w:eastAsia="en-ZA"/>
        </w:rPr>
      </w:pPr>
      <w:r w:rsidRPr="00746265">
        <w:rPr>
          <w:rFonts w:ascii="Trebuchet MS" w:eastAsia="Times New Roman" w:hAnsi="Trebuchet MS" w:cs="Helvetica"/>
          <w:b/>
          <w:color w:val="00B050"/>
          <w:lang w:eastAsia="en-ZA"/>
        </w:rPr>
        <w:t>Format of objection</w:t>
      </w:r>
      <w:r>
        <w:rPr>
          <w:rFonts w:ascii="Trebuchet MS" w:eastAsia="Times New Roman" w:hAnsi="Trebuchet MS" w:cs="Helvetica"/>
          <w:lang w:eastAsia="en-ZA"/>
        </w:rPr>
        <w:t xml:space="preserve">: </w:t>
      </w:r>
      <w:r w:rsidR="00117651" w:rsidRPr="00EE24DC">
        <w:rPr>
          <w:rFonts w:ascii="Trebuchet MS" w:eastAsia="Times New Roman" w:hAnsi="Trebuchet MS" w:cs="Helvetica"/>
          <w:lang w:eastAsia="en-ZA"/>
        </w:rPr>
        <w:t xml:space="preserve">The form of the objection can be in a </w:t>
      </w:r>
      <w:r w:rsidR="00117651" w:rsidRPr="00EE24DC">
        <w:rPr>
          <w:rFonts w:ascii="Trebuchet MS" w:eastAsia="Times New Roman" w:hAnsi="Trebuchet MS" w:cs="Helvetica"/>
          <w:b/>
          <w:lang w:eastAsia="en-ZA"/>
        </w:rPr>
        <w:t>letter format</w:t>
      </w:r>
      <w:r w:rsidR="00117651" w:rsidRPr="00EE24DC">
        <w:rPr>
          <w:rFonts w:ascii="Trebuchet MS" w:eastAsia="Times New Roman" w:hAnsi="Trebuchet MS" w:cs="Helvetica"/>
          <w:lang w:eastAsia="en-ZA"/>
        </w:rPr>
        <w:t xml:space="preserve"> and it should include your name and contact details or the organisation that you represent; the reference number of the applicant and </w:t>
      </w:r>
      <w:r w:rsidR="00117651" w:rsidRPr="00EE24DC">
        <w:rPr>
          <w:rFonts w:ascii="Trebuchet MS" w:eastAsia="Times New Roman" w:hAnsi="Trebuchet MS" w:cs="Helvetica"/>
          <w:b/>
          <w:lang w:eastAsia="en-ZA"/>
        </w:rPr>
        <w:t>MOST IMPORTANT THE REASONS FOR YOUR OBJECTION</w:t>
      </w:r>
      <w:r w:rsidR="00117651" w:rsidRPr="00EE24DC">
        <w:rPr>
          <w:rFonts w:ascii="Trebuchet MS" w:eastAsia="Times New Roman" w:hAnsi="Trebuchet MS" w:cs="Helvetica"/>
          <w:lang w:eastAsia="en-ZA"/>
        </w:rPr>
        <w:t>.</w:t>
      </w:r>
      <w:r w:rsidR="00EE24DC">
        <w:rPr>
          <w:rFonts w:ascii="Trebuchet MS" w:eastAsia="Times New Roman" w:hAnsi="Trebuchet MS" w:cs="Helvetica"/>
          <w:lang w:eastAsia="en-ZA"/>
        </w:rPr>
        <w:t xml:space="preserve"> Provide evidence where appropriate.</w:t>
      </w:r>
      <w:r w:rsidR="00117651" w:rsidRPr="00EE24DC">
        <w:rPr>
          <w:rFonts w:ascii="Trebuchet MS" w:eastAsia="Times New Roman" w:hAnsi="Trebuchet MS" w:cs="Helvetica"/>
          <w:lang w:eastAsia="en-ZA"/>
        </w:rPr>
        <w:t xml:space="preserve"> See the </w:t>
      </w:r>
      <w:r w:rsidR="00EE24DC">
        <w:rPr>
          <w:rFonts w:ascii="Trebuchet MS" w:eastAsia="Times New Roman" w:hAnsi="Trebuchet MS" w:cs="Helvetica"/>
          <w:lang w:eastAsia="en-ZA"/>
        </w:rPr>
        <w:t>reasons</w:t>
      </w:r>
      <w:r w:rsidR="000F6749" w:rsidRPr="00EE24DC">
        <w:rPr>
          <w:rFonts w:ascii="Trebuchet MS" w:eastAsia="Times New Roman" w:hAnsi="Trebuchet MS" w:cs="Helvetica"/>
          <w:lang w:eastAsia="en-ZA"/>
        </w:rPr>
        <w:t xml:space="preserve"> for the objection</w:t>
      </w:r>
      <w:r w:rsidR="00EE24DC">
        <w:rPr>
          <w:rFonts w:ascii="Trebuchet MS" w:eastAsia="Times New Roman" w:hAnsi="Trebuchet MS" w:cs="Helvetica"/>
          <w:lang w:eastAsia="en-ZA"/>
        </w:rPr>
        <w:t xml:space="preserve"> above.</w:t>
      </w:r>
    </w:p>
    <w:p w14:paraId="6A56BBDA" w14:textId="2075DE13" w:rsidR="00117651" w:rsidRPr="00EE24DC" w:rsidRDefault="00A70590" w:rsidP="001D3FD4">
      <w:pPr>
        <w:numPr>
          <w:ilvl w:val="0"/>
          <w:numId w:val="5"/>
        </w:numPr>
        <w:shd w:val="clear" w:color="auto" w:fill="FFFFFF"/>
        <w:spacing w:after="0" w:line="240" w:lineRule="auto"/>
        <w:ind w:left="360"/>
        <w:rPr>
          <w:rFonts w:ascii="Trebuchet MS" w:eastAsia="Times New Roman" w:hAnsi="Trebuchet MS" w:cs="Helvetica"/>
          <w:lang w:eastAsia="en-ZA"/>
        </w:rPr>
      </w:pPr>
      <w:r w:rsidRPr="00746265">
        <w:rPr>
          <w:rFonts w:ascii="Trebuchet MS" w:eastAsia="Times New Roman" w:hAnsi="Trebuchet MS" w:cs="Helvetica"/>
          <w:b/>
          <w:color w:val="00B050"/>
          <w:lang w:eastAsia="en-ZA"/>
        </w:rPr>
        <w:t>Reasons</w:t>
      </w:r>
      <w:r>
        <w:rPr>
          <w:rFonts w:ascii="Trebuchet MS" w:eastAsia="Times New Roman" w:hAnsi="Trebuchet MS" w:cs="Helvetica"/>
          <w:lang w:eastAsia="en-ZA"/>
        </w:rPr>
        <w:t xml:space="preserve">: </w:t>
      </w:r>
      <w:r w:rsidR="000F6749" w:rsidRPr="00EE24DC">
        <w:rPr>
          <w:rFonts w:ascii="Trebuchet MS" w:eastAsia="Times New Roman" w:hAnsi="Trebuchet MS" w:cs="Helvetica"/>
          <w:lang w:eastAsia="en-ZA"/>
        </w:rPr>
        <w:t xml:space="preserve">The </w:t>
      </w:r>
      <w:r>
        <w:rPr>
          <w:rFonts w:ascii="Trebuchet MS" w:eastAsia="Times New Roman" w:hAnsi="Trebuchet MS" w:cs="Helvetica"/>
          <w:lang w:eastAsia="en-ZA"/>
        </w:rPr>
        <w:t>reasons</w:t>
      </w:r>
      <w:r w:rsidR="000F6749" w:rsidRPr="00EE24DC">
        <w:rPr>
          <w:rFonts w:ascii="Trebuchet MS" w:eastAsia="Times New Roman" w:hAnsi="Trebuchet MS" w:cs="Helvetica"/>
          <w:lang w:eastAsia="en-ZA"/>
        </w:rPr>
        <w:t xml:space="preserve"> </w:t>
      </w:r>
      <w:r w:rsidR="000F6749" w:rsidRPr="00EE24DC">
        <w:rPr>
          <w:rFonts w:ascii="Trebuchet MS" w:eastAsia="Times New Roman" w:hAnsi="Trebuchet MS" w:cs="Helvetica"/>
          <w:b/>
          <w:lang w:eastAsia="en-ZA"/>
        </w:rPr>
        <w:t>objection must not be vague</w:t>
      </w:r>
      <w:r w:rsidR="000F6749" w:rsidRPr="00EE24DC">
        <w:rPr>
          <w:rFonts w:ascii="Trebuchet MS" w:eastAsia="Times New Roman" w:hAnsi="Trebuchet MS" w:cs="Helvetica"/>
          <w:lang w:eastAsia="en-ZA"/>
        </w:rPr>
        <w:t xml:space="preserve">; you need to </w:t>
      </w:r>
      <w:r w:rsidR="000F6749" w:rsidRPr="00EE24DC">
        <w:rPr>
          <w:rFonts w:ascii="Trebuchet MS" w:eastAsia="Times New Roman" w:hAnsi="Trebuchet MS" w:cs="Helvetica"/>
          <w:b/>
          <w:lang w:eastAsia="en-ZA"/>
        </w:rPr>
        <w:t>set out your reasons clearly</w:t>
      </w:r>
      <w:r w:rsidR="000F6749" w:rsidRPr="00EE24DC">
        <w:rPr>
          <w:rFonts w:ascii="Trebuchet MS" w:eastAsia="Times New Roman" w:hAnsi="Trebuchet MS" w:cs="Helvetica"/>
          <w:lang w:eastAsia="en-ZA"/>
        </w:rPr>
        <w:t xml:space="preserve"> and you need to provide </w:t>
      </w:r>
      <w:r w:rsidR="000F6749" w:rsidRPr="00EE24DC">
        <w:rPr>
          <w:rFonts w:ascii="Trebuchet MS" w:eastAsia="Times New Roman" w:hAnsi="Trebuchet MS" w:cs="Helvetica"/>
          <w:b/>
          <w:lang w:eastAsia="en-ZA"/>
        </w:rPr>
        <w:t>concrete information</w:t>
      </w:r>
      <w:r w:rsidR="000F6749" w:rsidRPr="00EE24DC">
        <w:rPr>
          <w:rFonts w:ascii="Trebuchet MS" w:eastAsia="Times New Roman" w:hAnsi="Trebuchet MS" w:cs="Helvetica"/>
          <w:lang w:eastAsia="en-ZA"/>
        </w:rPr>
        <w:t xml:space="preserve"> e.g. how the proposed business will impact on learners</w:t>
      </w:r>
      <w:r w:rsidR="00EE24DC">
        <w:rPr>
          <w:rFonts w:ascii="Trebuchet MS" w:eastAsia="Times New Roman" w:hAnsi="Trebuchet MS" w:cs="Helvetica"/>
          <w:lang w:eastAsia="en-ZA"/>
        </w:rPr>
        <w:t xml:space="preserve"> or residents</w:t>
      </w:r>
      <w:r w:rsidR="000F6749" w:rsidRPr="00EE24DC">
        <w:rPr>
          <w:rFonts w:ascii="Trebuchet MS" w:eastAsia="Times New Roman" w:hAnsi="Trebuchet MS" w:cs="Helvetica"/>
          <w:lang w:eastAsia="en-ZA"/>
        </w:rPr>
        <w:t>; crime and violence and so on. Provide evidence to support your claims</w:t>
      </w:r>
      <w:r>
        <w:rPr>
          <w:rFonts w:ascii="Trebuchet MS" w:eastAsia="Times New Roman" w:hAnsi="Trebuchet MS" w:cs="Helvetica"/>
          <w:lang w:eastAsia="en-ZA"/>
        </w:rPr>
        <w:t>.</w:t>
      </w:r>
      <w:r w:rsidR="000F6749" w:rsidRPr="00EE24DC">
        <w:rPr>
          <w:rFonts w:ascii="Trebuchet MS" w:eastAsia="Times New Roman" w:hAnsi="Trebuchet MS" w:cs="Helvetica"/>
          <w:lang w:eastAsia="en-ZA"/>
        </w:rPr>
        <w:t xml:space="preserve">       </w:t>
      </w:r>
      <w:r w:rsidR="00117651" w:rsidRPr="00EE24DC">
        <w:rPr>
          <w:rFonts w:ascii="Trebuchet MS" w:eastAsia="Times New Roman" w:hAnsi="Trebuchet MS" w:cs="Helvetica"/>
          <w:lang w:eastAsia="en-ZA"/>
        </w:rPr>
        <w:t xml:space="preserve"> </w:t>
      </w:r>
    </w:p>
    <w:p w14:paraId="1D62EB20" w14:textId="5F4FB344" w:rsidR="001D3FD4" w:rsidRPr="00EE24DC" w:rsidRDefault="00A70590" w:rsidP="00EF7E2B">
      <w:pPr>
        <w:numPr>
          <w:ilvl w:val="0"/>
          <w:numId w:val="5"/>
        </w:numPr>
        <w:shd w:val="clear" w:color="auto" w:fill="FFFFFF"/>
        <w:spacing w:after="0" w:line="240" w:lineRule="auto"/>
        <w:ind w:left="360"/>
        <w:rPr>
          <w:rFonts w:ascii="Trebuchet MS" w:eastAsia="Times New Roman" w:hAnsi="Trebuchet MS" w:cs="Helvetica"/>
          <w:lang w:eastAsia="en-ZA"/>
        </w:rPr>
      </w:pPr>
      <w:r w:rsidRPr="00746265">
        <w:rPr>
          <w:rFonts w:ascii="Trebuchet MS" w:eastAsia="Times New Roman" w:hAnsi="Trebuchet MS" w:cs="Helvetica"/>
          <w:b/>
          <w:color w:val="00B050"/>
          <w:lang w:eastAsia="en-ZA"/>
        </w:rPr>
        <w:t>Documentation</w:t>
      </w:r>
      <w:r>
        <w:rPr>
          <w:rFonts w:ascii="Trebuchet MS" w:eastAsia="Times New Roman" w:hAnsi="Trebuchet MS" w:cs="Helvetica"/>
          <w:lang w:eastAsia="en-ZA"/>
        </w:rPr>
        <w:t xml:space="preserve">: </w:t>
      </w:r>
      <w:r w:rsidR="000F6749" w:rsidRPr="00EE24DC">
        <w:rPr>
          <w:rFonts w:ascii="Trebuchet MS" w:eastAsia="Times New Roman" w:hAnsi="Trebuchet MS" w:cs="Helvetica"/>
          <w:lang w:eastAsia="en-ZA"/>
        </w:rPr>
        <w:t>T</w:t>
      </w:r>
      <w:r w:rsidR="001D3FD4" w:rsidRPr="00EE24DC">
        <w:rPr>
          <w:rFonts w:ascii="Trebuchet MS" w:eastAsia="Times New Roman" w:hAnsi="Trebuchet MS" w:cs="Helvetica"/>
          <w:lang w:eastAsia="en-ZA"/>
        </w:rPr>
        <w:t xml:space="preserve">he </w:t>
      </w:r>
      <w:r>
        <w:rPr>
          <w:rFonts w:ascii="Trebuchet MS" w:eastAsia="Times New Roman" w:hAnsi="Trebuchet MS" w:cs="Helvetica"/>
          <w:lang w:eastAsia="en-ZA"/>
        </w:rPr>
        <w:t xml:space="preserve">Gauteng </w:t>
      </w:r>
      <w:r w:rsidR="001D3FD4" w:rsidRPr="00EE24DC">
        <w:rPr>
          <w:rFonts w:ascii="Trebuchet MS" w:eastAsia="Times New Roman" w:hAnsi="Trebuchet MS" w:cs="Helvetica"/>
          <w:lang w:eastAsia="en-ZA"/>
        </w:rPr>
        <w:t>Liquor Board requires a single copy of the objection, however, to confirm receipt it would be prudent to take a 2nd copy with to the Liquor Board and have both copies stamped as received. The 2nd copy is your confirmation that the Liquor Board has received your objection.</w:t>
      </w:r>
    </w:p>
    <w:p w14:paraId="454E3D56" w14:textId="76FD5755" w:rsidR="001D3FD4" w:rsidRPr="00EE24DC" w:rsidRDefault="00A70590" w:rsidP="001D3FD4">
      <w:pPr>
        <w:numPr>
          <w:ilvl w:val="0"/>
          <w:numId w:val="6"/>
        </w:numPr>
        <w:shd w:val="clear" w:color="auto" w:fill="FFFFFF"/>
        <w:spacing w:after="0" w:line="240" w:lineRule="auto"/>
        <w:ind w:left="360"/>
        <w:rPr>
          <w:rFonts w:ascii="Helvetica" w:eastAsia="Times New Roman" w:hAnsi="Helvetica" w:cs="Helvetica"/>
          <w:lang w:eastAsia="en-ZA"/>
        </w:rPr>
      </w:pPr>
      <w:r w:rsidRPr="00746265">
        <w:rPr>
          <w:rFonts w:ascii="Helvetica" w:eastAsia="Times New Roman" w:hAnsi="Helvetica" w:cs="Helvetica"/>
          <w:b/>
          <w:color w:val="00B050"/>
          <w:lang w:eastAsia="en-ZA"/>
        </w:rPr>
        <w:t>Inform applicant of objection</w:t>
      </w:r>
      <w:r>
        <w:rPr>
          <w:rFonts w:ascii="Helvetica" w:eastAsia="Times New Roman" w:hAnsi="Helvetica" w:cs="Helvetica"/>
          <w:lang w:eastAsia="en-ZA"/>
        </w:rPr>
        <w:t xml:space="preserve">: </w:t>
      </w:r>
      <w:r w:rsidR="001D3FD4" w:rsidRPr="00EE24DC">
        <w:rPr>
          <w:rFonts w:ascii="Helvetica" w:eastAsia="Times New Roman" w:hAnsi="Helvetica" w:cs="Helvetica"/>
          <w:lang w:eastAsia="en-ZA"/>
        </w:rPr>
        <w:t xml:space="preserve">In </w:t>
      </w:r>
      <w:proofErr w:type="gramStart"/>
      <w:r w:rsidR="001D3FD4" w:rsidRPr="00EE24DC">
        <w:rPr>
          <w:rFonts w:ascii="Helvetica" w:eastAsia="Times New Roman" w:hAnsi="Helvetica" w:cs="Helvetica"/>
          <w:lang w:eastAsia="en-ZA"/>
        </w:rPr>
        <w:t>addition</w:t>
      </w:r>
      <w:proofErr w:type="gramEnd"/>
      <w:r w:rsidR="001D3FD4" w:rsidRPr="00EE24DC">
        <w:rPr>
          <w:rFonts w:ascii="Helvetica" w:eastAsia="Times New Roman" w:hAnsi="Helvetica" w:cs="Helvetica"/>
          <w:lang w:eastAsia="en-ZA"/>
        </w:rPr>
        <w:t xml:space="preserve"> a copy of the objection MUST be forwarded to the agent of the applicant dealing with the application</w:t>
      </w:r>
      <w:r w:rsidR="007015B2" w:rsidRPr="00EE24DC">
        <w:rPr>
          <w:rFonts w:ascii="Helvetica" w:eastAsia="Times New Roman" w:hAnsi="Helvetica" w:cs="Helvetica"/>
          <w:lang w:eastAsia="en-ZA"/>
        </w:rPr>
        <w:t xml:space="preserve"> or to the applicant directly</w:t>
      </w:r>
      <w:r w:rsidR="001D3FD4" w:rsidRPr="00EE24DC">
        <w:rPr>
          <w:rFonts w:ascii="Helvetica" w:eastAsia="Times New Roman" w:hAnsi="Helvetica" w:cs="Helvetica"/>
          <w:lang w:eastAsia="en-ZA"/>
        </w:rPr>
        <w:t xml:space="preserve"> which can either be hand delivered or emailed direct to the said agent</w:t>
      </w:r>
      <w:r w:rsidR="007015B2" w:rsidRPr="00EE24DC">
        <w:rPr>
          <w:rFonts w:ascii="Helvetica" w:eastAsia="Times New Roman" w:hAnsi="Helvetica" w:cs="Helvetica"/>
          <w:lang w:eastAsia="en-ZA"/>
        </w:rPr>
        <w:t xml:space="preserve">/applicant. </w:t>
      </w:r>
    </w:p>
    <w:p w14:paraId="6DFF3826" w14:textId="77777777" w:rsidR="000F6749" w:rsidRPr="00EE24DC" w:rsidRDefault="000F6749" w:rsidP="000F6749">
      <w:pPr>
        <w:shd w:val="clear" w:color="auto" w:fill="FFFFFF"/>
        <w:spacing w:after="0" w:line="240" w:lineRule="auto"/>
        <w:rPr>
          <w:rFonts w:ascii="Helvetica" w:eastAsia="Times New Roman" w:hAnsi="Helvetica" w:cs="Helvetica"/>
          <w:lang w:eastAsia="en-ZA"/>
        </w:rPr>
      </w:pPr>
    </w:p>
    <w:p w14:paraId="590DD083" w14:textId="77777777" w:rsidR="00746265" w:rsidRDefault="00746265" w:rsidP="00CE237C">
      <w:pPr>
        <w:shd w:val="clear" w:color="auto" w:fill="FFFFFF"/>
        <w:spacing w:after="0" w:line="240" w:lineRule="auto"/>
        <w:rPr>
          <w:rFonts w:ascii="Helvetica" w:eastAsia="Times New Roman" w:hAnsi="Helvetica" w:cs="Helvetica"/>
          <w:b/>
          <w:lang w:eastAsia="en-ZA"/>
        </w:rPr>
      </w:pPr>
    </w:p>
    <w:p w14:paraId="02050CEE" w14:textId="77777777" w:rsidR="00746265" w:rsidRDefault="00746265" w:rsidP="00CE237C">
      <w:pPr>
        <w:shd w:val="clear" w:color="auto" w:fill="FFFFFF"/>
        <w:spacing w:after="0" w:line="240" w:lineRule="auto"/>
        <w:rPr>
          <w:rFonts w:ascii="Helvetica" w:eastAsia="Times New Roman" w:hAnsi="Helvetica" w:cs="Helvetica"/>
          <w:b/>
          <w:lang w:eastAsia="en-ZA"/>
        </w:rPr>
      </w:pPr>
    </w:p>
    <w:p w14:paraId="42E3B99D" w14:textId="77777777" w:rsidR="00746265" w:rsidRDefault="00746265" w:rsidP="00CE237C">
      <w:pPr>
        <w:shd w:val="clear" w:color="auto" w:fill="FFFFFF"/>
        <w:spacing w:after="0" w:line="240" w:lineRule="auto"/>
        <w:rPr>
          <w:rFonts w:ascii="Helvetica" w:eastAsia="Times New Roman" w:hAnsi="Helvetica" w:cs="Helvetica"/>
          <w:b/>
          <w:color w:val="00B050"/>
          <w:lang w:eastAsia="en-ZA"/>
        </w:rPr>
      </w:pPr>
    </w:p>
    <w:p w14:paraId="638A4820" w14:textId="77777777" w:rsidR="00CE237C" w:rsidRPr="00746265" w:rsidRDefault="000F6749" w:rsidP="00CE237C">
      <w:pPr>
        <w:shd w:val="clear" w:color="auto" w:fill="FFFFFF"/>
        <w:spacing w:after="0" w:line="240" w:lineRule="auto"/>
        <w:rPr>
          <w:rFonts w:ascii="Helvetica" w:eastAsia="Times New Roman" w:hAnsi="Helvetica" w:cs="Helvetica"/>
          <w:b/>
          <w:color w:val="00B050"/>
          <w:lang w:eastAsia="en-ZA"/>
        </w:rPr>
      </w:pPr>
      <w:r w:rsidRPr="00746265">
        <w:rPr>
          <w:rFonts w:ascii="Helvetica" w:eastAsia="Times New Roman" w:hAnsi="Helvetica" w:cs="Helvetica"/>
          <w:b/>
          <w:color w:val="00B050"/>
          <w:lang w:eastAsia="en-ZA"/>
        </w:rPr>
        <w:t>Outcome</w:t>
      </w:r>
    </w:p>
    <w:p w14:paraId="06303ADD" w14:textId="77777777" w:rsidR="00CE237C" w:rsidRPr="00EE24DC" w:rsidRDefault="00CE237C" w:rsidP="00CE237C">
      <w:pPr>
        <w:shd w:val="clear" w:color="auto" w:fill="FFFFFF"/>
        <w:spacing w:after="0" w:line="240" w:lineRule="auto"/>
        <w:rPr>
          <w:rFonts w:ascii="Helvetica" w:eastAsia="Times New Roman" w:hAnsi="Helvetica" w:cs="Helvetica"/>
          <w:b/>
          <w:lang w:eastAsia="en-ZA"/>
        </w:rPr>
      </w:pPr>
    </w:p>
    <w:p w14:paraId="55C34E70" w14:textId="77777777" w:rsidR="000F6749" w:rsidRPr="00EE24DC" w:rsidRDefault="001D3FD4" w:rsidP="001D3FD4">
      <w:pPr>
        <w:numPr>
          <w:ilvl w:val="0"/>
          <w:numId w:val="6"/>
        </w:numPr>
        <w:shd w:val="clear" w:color="auto" w:fill="FFFFFF"/>
        <w:spacing w:after="0" w:line="240" w:lineRule="auto"/>
        <w:ind w:left="360"/>
        <w:rPr>
          <w:rFonts w:ascii="Helvetica" w:eastAsia="Times New Roman" w:hAnsi="Helvetica" w:cs="Helvetica"/>
          <w:lang w:eastAsia="en-ZA"/>
        </w:rPr>
      </w:pPr>
      <w:r w:rsidRPr="00EE24DC">
        <w:rPr>
          <w:rFonts w:ascii="Helvetica" w:eastAsia="Times New Roman" w:hAnsi="Helvetica" w:cs="Helvetica"/>
          <w:lang w:eastAsia="en-ZA"/>
        </w:rPr>
        <w:t>A hearing date will be set for all accepted objections</w:t>
      </w:r>
      <w:r w:rsidR="000F6749" w:rsidRPr="00EE24DC">
        <w:rPr>
          <w:rFonts w:ascii="Helvetica" w:eastAsia="Times New Roman" w:hAnsi="Helvetica" w:cs="Helvetica"/>
          <w:lang w:eastAsia="en-ZA"/>
        </w:rPr>
        <w:t>.</w:t>
      </w:r>
      <w:r w:rsidRPr="00EE24DC">
        <w:rPr>
          <w:rFonts w:ascii="Helvetica" w:eastAsia="Times New Roman" w:hAnsi="Helvetica" w:cs="Helvetica"/>
          <w:lang w:eastAsia="en-ZA"/>
        </w:rPr>
        <w:t xml:space="preserve"> </w:t>
      </w:r>
      <w:r w:rsidR="000F6749" w:rsidRPr="00EE24DC">
        <w:rPr>
          <w:rFonts w:ascii="Helvetica" w:eastAsia="Times New Roman" w:hAnsi="Helvetica" w:cs="Helvetica"/>
          <w:lang w:eastAsia="en-ZA"/>
        </w:rPr>
        <w:t>The persons/organisations who o</w:t>
      </w:r>
      <w:r w:rsidRPr="00EE24DC">
        <w:rPr>
          <w:rFonts w:ascii="Helvetica" w:eastAsia="Times New Roman" w:hAnsi="Helvetica" w:cs="Helvetica"/>
          <w:lang w:eastAsia="en-ZA"/>
        </w:rPr>
        <w:t>bject</w:t>
      </w:r>
      <w:r w:rsidR="000F6749" w:rsidRPr="00EE24DC">
        <w:rPr>
          <w:rFonts w:ascii="Helvetica" w:eastAsia="Times New Roman" w:hAnsi="Helvetica" w:cs="Helvetica"/>
          <w:lang w:eastAsia="en-ZA"/>
        </w:rPr>
        <w:t>ed</w:t>
      </w:r>
      <w:r w:rsidRPr="00EE24DC">
        <w:rPr>
          <w:rFonts w:ascii="Helvetica" w:eastAsia="Times New Roman" w:hAnsi="Helvetica" w:cs="Helvetica"/>
          <w:lang w:eastAsia="en-ZA"/>
        </w:rPr>
        <w:t xml:space="preserve"> or their representative will</w:t>
      </w:r>
      <w:r w:rsidR="000F6749" w:rsidRPr="00EE24DC">
        <w:rPr>
          <w:rFonts w:ascii="Helvetica" w:eastAsia="Times New Roman" w:hAnsi="Helvetica" w:cs="Helvetica"/>
          <w:lang w:eastAsia="en-ZA"/>
        </w:rPr>
        <w:t xml:space="preserve"> have to attend the hearing.</w:t>
      </w:r>
    </w:p>
    <w:p w14:paraId="4418EF84" w14:textId="77777777" w:rsidR="00A70590" w:rsidRDefault="001D3FD4" w:rsidP="00A70590">
      <w:pPr>
        <w:numPr>
          <w:ilvl w:val="0"/>
          <w:numId w:val="6"/>
        </w:numPr>
        <w:shd w:val="clear" w:color="auto" w:fill="FFFFFF"/>
        <w:spacing w:after="0" w:line="240" w:lineRule="auto"/>
        <w:ind w:left="360"/>
        <w:rPr>
          <w:rFonts w:ascii="Helvetica" w:eastAsia="Times New Roman" w:hAnsi="Helvetica" w:cs="Helvetica"/>
          <w:lang w:eastAsia="en-ZA"/>
        </w:rPr>
      </w:pPr>
      <w:r w:rsidRPr="00EE24DC">
        <w:rPr>
          <w:rFonts w:ascii="Helvetica" w:eastAsia="Times New Roman" w:hAnsi="Helvetica" w:cs="Helvetica"/>
          <w:lang w:eastAsia="en-ZA"/>
        </w:rPr>
        <w:t>Objectors will be advised of the date and the requirement to appear by in person or with their representatives.</w:t>
      </w:r>
    </w:p>
    <w:p w14:paraId="1AC77068" w14:textId="7E8247BA" w:rsidR="00A70590" w:rsidRPr="00920F78" w:rsidRDefault="00A70590" w:rsidP="00A70590">
      <w:pPr>
        <w:numPr>
          <w:ilvl w:val="0"/>
          <w:numId w:val="6"/>
        </w:numPr>
        <w:shd w:val="clear" w:color="auto" w:fill="FFFFFF"/>
        <w:spacing w:after="0" w:line="240" w:lineRule="auto"/>
        <w:ind w:left="360"/>
        <w:rPr>
          <w:rFonts w:ascii="Helvetica" w:eastAsia="Times New Roman" w:hAnsi="Helvetica" w:cs="Helvetica"/>
          <w:lang w:eastAsia="en-ZA"/>
        </w:rPr>
      </w:pPr>
      <w:r w:rsidRPr="00A70590">
        <w:rPr>
          <w:rFonts w:ascii="Trebuchet MS" w:eastAsia="Times New Roman" w:hAnsi="Trebuchet MS" w:cs="Helvetica"/>
          <w:lang w:eastAsia="en-ZA"/>
        </w:rPr>
        <w:t>The Liquor Board will advise if the objection is successful or not</w:t>
      </w:r>
      <w:r>
        <w:rPr>
          <w:rFonts w:ascii="Trebuchet MS" w:eastAsia="Times New Roman" w:hAnsi="Trebuchet MS" w:cs="Helvetica"/>
          <w:lang w:eastAsia="en-ZA"/>
        </w:rPr>
        <w:t xml:space="preserve">. </w:t>
      </w:r>
    </w:p>
    <w:p w14:paraId="397373F1" w14:textId="189CF512" w:rsidR="00920F78" w:rsidRPr="00A70590" w:rsidRDefault="00920F78" w:rsidP="00A70590">
      <w:pPr>
        <w:numPr>
          <w:ilvl w:val="0"/>
          <w:numId w:val="6"/>
        </w:numPr>
        <w:shd w:val="clear" w:color="auto" w:fill="FFFFFF"/>
        <w:spacing w:after="0" w:line="240" w:lineRule="auto"/>
        <w:ind w:left="360"/>
        <w:rPr>
          <w:rFonts w:ascii="Helvetica" w:eastAsia="Times New Roman" w:hAnsi="Helvetica" w:cs="Helvetica"/>
          <w:lang w:eastAsia="en-ZA"/>
        </w:rPr>
      </w:pPr>
      <w:r>
        <w:rPr>
          <w:rFonts w:ascii="Trebuchet MS" w:eastAsia="Times New Roman" w:hAnsi="Trebuchet MS" w:cs="Helvetica"/>
          <w:lang w:eastAsia="en-ZA"/>
        </w:rPr>
        <w:t xml:space="preserve">You may request minutes of the meeting by paying a fee.  </w:t>
      </w:r>
    </w:p>
    <w:p w14:paraId="14635EC5" w14:textId="70300D7C" w:rsidR="000F6749" w:rsidRPr="00A70590" w:rsidRDefault="000F6749" w:rsidP="00A70590">
      <w:pPr>
        <w:numPr>
          <w:ilvl w:val="0"/>
          <w:numId w:val="6"/>
        </w:numPr>
        <w:shd w:val="clear" w:color="auto" w:fill="FFFFFF"/>
        <w:spacing w:after="0" w:line="240" w:lineRule="auto"/>
        <w:ind w:left="360"/>
        <w:rPr>
          <w:rFonts w:ascii="Helvetica" w:eastAsia="Times New Roman" w:hAnsi="Helvetica" w:cs="Helvetica"/>
          <w:lang w:eastAsia="en-ZA"/>
        </w:rPr>
      </w:pPr>
      <w:r w:rsidRPr="00A70590">
        <w:rPr>
          <w:rFonts w:ascii="Helvetica" w:eastAsia="Times New Roman" w:hAnsi="Helvetica" w:cs="Helvetica"/>
          <w:lang w:eastAsia="en-ZA"/>
        </w:rPr>
        <w:t xml:space="preserve">Even if the Liquor Board does not rule in your favour, they would have heard </w:t>
      </w:r>
      <w:r w:rsidR="00A70590" w:rsidRPr="00A70590">
        <w:rPr>
          <w:rFonts w:ascii="Helvetica" w:eastAsia="Times New Roman" w:hAnsi="Helvetica" w:cs="Helvetica"/>
          <w:lang w:eastAsia="en-ZA"/>
        </w:rPr>
        <w:t>y</w:t>
      </w:r>
      <w:r w:rsidRPr="00A70590">
        <w:rPr>
          <w:rFonts w:ascii="Helvetica" w:eastAsia="Times New Roman" w:hAnsi="Helvetica" w:cs="Helvetica"/>
          <w:lang w:eastAsia="en-ZA"/>
        </w:rPr>
        <w:t>our concerns and the applicant will know that the residents will not accept inappro</w:t>
      </w:r>
      <w:r w:rsidR="00CE237C" w:rsidRPr="00A70590">
        <w:rPr>
          <w:rFonts w:ascii="Helvetica" w:eastAsia="Times New Roman" w:hAnsi="Helvetica" w:cs="Helvetica"/>
          <w:lang w:eastAsia="en-ZA"/>
        </w:rPr>
        <w:t xml:space="preserve">priate conduct and that the conditions attached to the license will be monitored.   </w:t>
      </w:r>
    </w:p>
    <w:p w14:paraId="59CA1792" w14:textId="77777777" w:rsidR="001D3FD4" w:rsidRPr="00EE24DC" w:rsidRDefault="001D3FD4" w:rsidP="001D3FD4">
      <w:pPr>
        <w:shd w:val="clear" w:color="auto" w:fill="FFFFFF"/>
        <w:spacing w:after="225" w:line="384" w:lineRule="atLeast"/>
        <w:rPr>
          <w:rFonts w:ascii="Helvetica" w:eastAsia="Times New Roman" w:hAnsi="Helvetica" w:cs="Helvetica"/>
          <w:sz w:val="18"/>
          <w:szCs w:val="18"/>
          <w:lang w:eastAsia="en-ZA"/>
        </w:rPr>
      </w:pPr>
      <w:r w:rsidRPr="00EE24DC">
        <w:rPr>
          <w:rFonts w:ascii="Helvetica" w:eastAsia="Times New Roman" w:hAnsi="Helvetica" w:cs="Helvetica"/>
          <w:sz w:val="18"/>
          <w:szCs w:val="18"/>
          <w:lang w:eastAsia="en-ZA"/>
        </w:rPr>
        <w:t> </w:t>
      </w:r>
    </w:p>
    <w:p w14:paraId="00627EB5" w14:textId="7C112989" w:rsidR="00C367C0" w:rsidRPr="00C367C0" w:rsidRDefault="00C367C0" w:rsidP="00C367C0">
      <w:pPr>
        <w:rPr>
          <w:rFonts w:ascii="Trebuchet MS" w:hAnsi="Trebuchet MS"/>
          <w:b/>
          <w:color w:val="00B050"/>
          <w:sz w:val="24"/>
          <w:szCs w:val="24"/>
        </w:rPr>
      </w:pPr>
      <w:r>
        <w:rPr>
          <w:rFonts w:ascii="Trebuchet MS" w:hAnsi="Trebuchet MS"/>
          <w:b/>
          <w:color w:val="00B050"/>
          <w:sz w:val="24"/>
          <w:szCs w:val="24"/>
        </w:rPr>
        <w:t>Where to submit an objection</w:t>
      </w:r>
    </w:p>
    <w:p w14:paraId="0224D144" w14:textId="1382BAEA" w:rsidR="003358FB" w:rsidRDefault="00746265" w:rsidP="003358FB">
      <w:pPr>
        <w:pStyle w:val="ListParagraph"/>
        <w:numPr>
          <w:ilvl w:val="0"/>
          <w:numId w:val="3"/>
        </w:numPr>
        <w:rPr>
          <w:rFonts w:ascii="Trebuchet MS" w:hAnsi="Trebuchet MS"/>
          <w:sz w:val="24"/>
          <w:szCs w:val="24"/>
        </w:rPr>
      </w:pPr>
      <w:r w:rsidRPr="00746265">
        <w:rPr>
          <w:rFonts w:ascii="Trebuchet MS" w:hAnsi="Trebuchet MS"/>
          <w:b/>
          <w:sz w:val="24"/>
          <w:szCs w:val="24"/>
        </w:rPr>
        <w:t>Hand deliver</w:t>
      </w:r>
      <w:r>
        <w:rPr>
          <w:rFonts w:ascii="Trebuchet MS" w:hAnsi="Trebuchet MS"/>
          <w:sz w:val="24"/>
          <w:szCs w:val="24"/>
        </w:rPr>
        <w:t xml:space="preserve"> your objection to the </w:t>
      </w:r>
      <w:r w:rsidR="003358FB">
        <w:rPr>
          <w:rFonts w:ascii="Trebuchet MS" w:hAnsi="Trebuchet MS"/>
          <w:sz w:val="24"/>
          <w:szCs w:val="24"/>
        </w:rPr>
        <w:t>Gauteng Liquor Board</w:t>
      </w:r>
      <w:r>
        <w:rPr>
          <w:rFonts w:ascii="Trebuchet MS" w:hAnsi="Trebuchet MS"/>
          <w:sz w:val="24"/>
          <w:szCs w:val="24"/>
        </w:rPr>
        <w:t>.</w:t>
      </w:r>
      <w:r w:rsidR="003358FB">
        <w:rPr>
          <w:rFonts w:ascii="Trebuchet MS" w:hAnsi="Trebuchet MS"/>
          <w:sz w:val="24"/>
          <w:szCs w:val="24"/>
        </w:rPr>
        <w:t xml:space="preserve"> </w:t>
      </w:r>
    </w:p>
    <w:p w14:paraId="597CBD19" w14:textId="77777777" w:rsidR="003358FB" w:rsidRDefault="003358FB" w:rsidP="003358FB">
      <w:pPr>
        <w:pStyle w:val="ListParagraph"/>
        <w:numPr>
          <w:ilvl w:val="0"/>
          <w:numId w:val="3"/>
        </w:numPr>
        <w:rPr>
          <w:rFonts w:ascii="Trebuchet MS" w:hAnsi="Trebuchet MS"/>
          <w:sz w:val="24"/>
          <w:szCs w:val="24"/>
        </w:rPr>
      </w:pPr>
      <w:r>
        <w:rPr>
          <w:rFonts w:ascii="Trebuchet MS" w:hAnsi="Trebuchet MS"/>
          <w:sz w:val="24"/>
          <w:szCs w:val="24"/>
        </w:rPr>
        <w:t>Obtain acknowledgement of receipt of your submission of complaint.</w:t>
      </w:r>
    </w:p>
    <w:p w14:paraId="2E1481A4" w14:textId="6F55DED3" w:rsidR="008D0BE5" w:rsidRDefault="00746265" w:rsidP="00FC6BDD">
      <w:pPr>
        <w:pStyle w:val="ListParagraph"/>
        <w:numPr>
          <w:ilvl w:val="0"/>
          <w:numId w:val="3"/>
        </w:numPr>
        <w:rPr>
          <w:rFonts w:ascii="Trebuchet MS" w:hAnsi="Trebuchet MS"/>
          <w:sz w:val="24"/>
          <w:szCs w:val="24"/>
        </w:rPr>
      </w:pPr>
      <w:r w:rsidRPr="008D0BE5">
        <w:rPr>
          <w:rFonts w:ascii="Trebuchet MS" w:hAnsi="Trebuchet MS"/>
          <w:sz w:val="24"/>
          <w:szCs w:val="24"/>
        </w:rPr>
        <w:t xml:space="preserve">Submit a copy </w:t>
      </w:r>
      <w:r w:rsidR="00BE35A2">
        <w:rPr>
          <w:rFonts w:ascii="Trebuchet MS" w:hAnsi="Trebuchet MS"/>
          <w:sz w:val="24"/>
          <w:szCs w:val="24"/>
        </w:rPr>
        <w:t xml:space="preserve">of </w:t>
      </w:r>
      <w:r w:rsidRPr="008D0BE5">
        <w:rPr>
          <w:rFonts w:ascii="Trebuchet MS" w:hAnsi="Trebuchet MS"/>
          <w:sz w:val="24"/>
          <w:szCs w:val="24"/>
        </w:rPr>
        <w:t xml:space="preserve">your submission to the KRRA at </w:t>
      </w:r>
      <w:hyperlink r:id="rId8" w:history="1">
        <w:r w:rsidR="008D0BE5" w:rsidRPr="008D0BE5">
          <w:rPr>
            <w:rStyle w:val="Hyperlink"/>
            <w:rFonts w:ascii="Trebuchet MS" w:hAnsi="Trebuchet MS"/>
            <w:sz w:val="24"/>
            <w:szCs w:val="24"/>
          </w:rPr>
          <w:t>action@krra.org.za</w:t>
        </w:r>
      </w:hyperlink>
      <w:r w:rsidR="008D0BE5" w:rsidRPr="008D0BE5">
        <w:rPr>
          <w:rFonts w:ascii="Trebuchet MS" w:hAnsi="Trebuchet MS"/>
          <w:sz w:val="24"/>
          <w:szCs w:val="24"/>
        </w:rPr>
        <w:t xml:space="preserve"> </w:t>
      </w:r>
    </w:p>
    <w:p w14:paraId="216F460C" w14:textId="2F1E078D" w:rsidR="003358FB" w:rsidRPr="008D0BE5" w:rsidRDefault="003358FB" w:rsidP="008D0BE5">
      <w:pPr>
        <w:rPr>
          <w:rFonts w:ascii="Trebuchet MS" w:hAnsi="Trebuchet MS"/>
          <w:sz w:val="24"/>
          <w:szCs w:val="24"/>
        </w:rPr>
      </w:pPr>
      <w:r w:rsidRPr="008D0BE5">
        <w:rPr>
          <w:rFonts w:ascii="Trebuchet MS" w:hAnsi="Trebuchet MS"/>
          <w:b/>
          <w:sz w:val="24"/>
          <w:szCs w:val="24"/>
        </w:rPr>
        <w:t>Contact details</w:t>
      </w:r>
      <w:r w:rsidRPr="008D0BE5">
        <w:rPr>
          <w:rFonts w:ascii="Trebuchet MS" w:hAnsi="Trebuchet MS"/>
          <w:sz w:val="24"/>
          <w:szCs w:val="24"/>
        </w:rPr>
        <w:t>:</w:t>
      </w:r>
    </w:p>
    <w:p w14:paraId="44DEFC4C" w14:textId="3E7E2F23" w:rsidR="003358FB" w:rsidRDefault="003358FB" w:rsidP="003358FB">
      <w:pPr>
        <w:rPr>
          <w:rFonts w:ascii="Trebuchet MS" w:hAnsi="Trebuchet MS"/>
          <w:sz w:val="24"/>
          <w:szCs w:val="24"/>
        </w:rPr>
      </w:pPr>
      <w:r>
        <w:rPr>
          <w:rFonts w:ascii="Trebuchet MS" w:hAnsi="Trebuchet MS"/>
          <w:sz w:val="24"/>
          <w:szCs w:val="24"/>
        </w:rPr>
        <w:t>Gauteng Liquor Board</w:t>
      </w:r>
    </w:p>
    <w:p w14:paraId="3981C374" w14:textId="3457BFF6" w:rsidR="003358FB" w:rsidRDefault="003358FB" w:rsidP="003358FB">
      <w:pPr>
        <w:rPr>
          <w:rFonts w:ascii="Trebuchet MS" w:hAnsi="Trebuchet MS"/>
          <w:sz w:val="24"/>
          <w:szCs w:val="24"/>
        </w:rPr>
      </w:pPr>
      <w:r>
        <w:rPr>
          <w:rFonts w:ascii="Trebuchet MS" w:hAnsi="Trebuchet MS"/>
          <w:sz w:val="24"/>
          <w:szCs w:val="24"/>
        </w:rPr>
        <w:t>Johannesburg Regional Office</w:t>
      </w:r>
    </w:p>
    <w:p w14:paraId="42341CCC" w14:textId="77777777" w:rsidR="003358FB" w:rsidRDefault="003358FB" w:rsidP="003358FB">
      <w:pPr>
        <w:rPr>
          <w:rFonts w:ascii="Trebuchet MS" w:hAnsi="Trebuchet MS"/>
          <w:sz w:val="24"/>
          <w:szCs w:val="24"/>
        </w:rPr>
      </w:pPr>
      <w:proofErr w:type="spellStart"/>
      <w:r>
        <w:rPr>
          <w:rFonts w:ascii="Trebuchet MS" w:hAnsi="Trebuchet MS"/>
          <w:sz w:val="24"/>
          <w:szCs w:val="24"/>
        </w:rPr>
        <w:t>Matlotlo</w:t>
      </w:r>
      <w:proofErr w:type="spellEnd"/>
      <w:r>
        <w:rPr>
          <w:rFonts w:ascii="Trebuchet MS" w:hAnsi="Trebuchet MS"/>
          <w:sz w:val="24"/>
          <w:szCs w:val="24"/>
        </w:rPr>
        <w:t xml:space="preserve"> house, 4</w:t>
      </w:r>
      <w:r w:rsidRPr="007807CD">
        <w:rPr>
          <w:rFonts w:ascii="Trebuchet MS" w:hAnsi="Trebuchet MS"/>
          <w:sz w:val="24"/>
          <w:szCs w:val="24"/>
          <w:vertAlign w:val="superscript"/>
        </w:rPr>
        <w:t>nd</w:t>
      </w:r>
      <w:r>
        <w:rPr>
          <w:rFonts w:ascii="Trebuchet MS" w:hAnsi="Trebuchet MS"/>
          <w:sz w:val="24"/>
          <w:szCs w:val="24"/>
        </w:rPr>
        <w:t xml:space="preserve"> floor, 124 Main Street, Johannesburg </w:t>
      </w:r>
    </w:p>
    <w:p w14:paraId="644187E9" w14:textId="77777777" w:rsidR="003358FB" w:rsidRDefault="003358FB" w:rsidP="003358FB">
      <w:pPr>
        <w:rPr>
          <w:rFonts w:ascii="Trebuchet MS" w:hAnsi="Trebuchet MS"/>
          <w:sz w:val="24"/>
          <w:szCs w:val="24"/>
        </w:rPr>
      </w:pPr>
      <w:r>
        <w:rPr>
          <w:rFonts w:ascii="Trebuchet MS" w:hAnsi="Trebuchet MS"/>
          <w:sz w:val="24"/>
          <w:szCs w:val="24"/>
        </w:rPr>
        <w:t>Tel.: 011-085-2245 or 011-0852265</w:t>
      </w:r>
    </w:p>
    <w:p w14:paraId="4107F2A0" w14:textId="3F98EABA" w:rsidR="003358FB" w:rsidRDefault="003358FB" w:rsidP="003358FB">
      <w:pPr>
        <w:rPr>
          <w:rFonts w:ascii="Trebuchet MS" w:hAnsi="Trebuchet MS"/>
          <w:sz w:val="24"/>
          <w:szCs w:val="24"/>
        </w:rPr>
      </w:pPr>
      <w:r>
        <w:rPr>
          <w:rFonts w:ascii="Trebuchet MS" w:hAnsi="Trebuchet MS"/>
          <w:sz w:val="24"/>
          <w:szCs w:val="24"/>
        </w:rPr>
        <w:t xml:space="preserve">Email: </w:t>
      </w:r>
      <w:hyperlink r:id="rId9" w:history="1">
        <w:r w:rsidR="00117651" w:rsidRPr="000F7DCF">
          <w:rPr>
            <w:rStyle w:val="Hyperlink"/>
            <w:rFonts w:ascii="Trebuchet MS" w:hAnsi="Trebuchet MS"/>
            <w:sz w:val="24"/>
            <w:szCs w:val="24"/>
          </w:rPr>
          <w:t>sibongile.gambu@gauteng.gov.za</w:t>
        </w:r>
      </w:hyperlink>
      <w:r>
        <w:rPr>
          <w:rFonts w:ascii="Trebuchet MS" w:hAnsi="Trebuchet MS"/>
          <w:sz w:val="24"/>
          <w:szCs w:val="24"/>
        </w:rPr>
        <w:t>.</w:t>
      </w:r>
    </w:p>
    <w:p w14:paraId="4E5A26FE" w14:textId="318D72D6" w:rsidR="00DA27CA" w:rsidRDefault="00DA27CA"/>
    <w:sectPr w:rsidR="00DA27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5AF1FEE"/>
    <w:multiLevelType w:val="hybridMultilevel"/>
    <w:tmpl w:val="8E76D5D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7E2300"/>
    <w:multiLevelType w:val="hybridMultilevel"/>
    <w:tmpl w:val="DFB491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34E035C"/>
    <w:multiLevelType w:val="multilevel"/>
    <w:tmpl w:val="B81482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D30285F"/>
    <w:multiLevelType w:val="hybridMultilevel"/>
    <w:tmpl w:val="0D4ED6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05E09DC"/>
    <w:multiLevelType w:val="multilevel"/>
    <w:tmpl w:val="B8148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166D16"/>
    <w:multiLevelType w:val="hybridMultilevel"/>
    <w:tmpl w:val="5CB4EF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2BC86199"/>
    <w:multiLevelType w:val="hybridMultilevel"/>
    <w:tmpl w:val="E15632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35CA38CB"/>
    <w:multiLevelType w:val="multilevel"/>
    <w:tmpl w:val="1192629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36215A2B"/>
    <w:multiLevelType w:val="hybridMultilevel"/>
    <w:tmpl w:val="C562FB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414F4816"/>
    <w:multiLevelType w:val="hybridMultilevel"/>
    <w:tmpl w:val="6B26F4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41A63CA9"/>
    <w:multiLevelType w:val="multilevel"/>
    <w:tmpl w:val="B8148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4C1803"/>
    <w:multiLevelType w:val="multilevel"/>
    <w:tmpl w:val="B8148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4F3906"/>
    <w:multiLevelType w:val="multilevel"/>
    <w:tmpl w:val="91200CAA"/>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cs="Times New Roman" w:hint="default"/>
        <w:sz w:val="20"/>
      </w:rPr>
    </w:lvl>
    <w:lvl w:ilvl="2">
      <w:start w:val="1"/>
      <w:numFmt w:val="bullet"/>
      <w:lvlText w:val=""/>
      <w:lvlJc w:val="left"/>
      <w:pPr>
        <w:tabs>
          <w:tab w:val="num" w:pos="3600"/>
        </w:tabs>
        <w:ind w:left="3600" w:hanging="360"/>
      </w:pPr>
      <w:rPr>
        <w:rFonts w:ascii="Wingdings" w:hAnsi="Wingdings" w:hint="default"/>
        <w:sz w:val="20"/>
      </w:rPr>
    </w:lvl>
    <w:lvl w:ilvl="3">
      <w:start w:val="1"/>
      <w:numFmt w:val="bullet"/>
      <w:lvlText w:val=""/>
      <w:lvlJc w:val="left"/>
      <w:pPr>
        <w:tabs>
          <w:tab w:val="num" w:pos="4320"/>
        </w:tabs>
        <w:ind w:left="4320" w:hanging="360"/>
      </w:pPr>
      <w:rPr>
        <w:rFonts w:ascii="Wingdings" w:hAnsi="Wingdings" w:hint="default"/>
        <w:sz w:val="20"/>
      </w:rPr>
    </w:lvl>
    <w:lvl w:ilvl="4">
      <w:start w:val="1"/>
      <w:numFmt w:val="bullet"/>
      <w:lvlText w:val=""/>
      <w:lvlJc w:val="left"/>
      <w:pPr>
        <w:tabs>
          <w:tab w:val="num" w:pos="5040"/>
        </w:tabs>
        <w:ind w:left="5040" w:hanging="360"/>
      </w:pPr>
      <w:rPr>
        <w:rFonts w:ascii="Wingdings" w:hAnsi="Wingdings" w:hint="default"/>
        <w:sz w:val="20"/>
      </w:rPr>
    </w:lvl>
    <w:lvl w:ilvl="5">
      <w:start w:val="1"/>
      <w:numFmt w:val="bullet"/>
      <w:lvlText w:val=""/>
      <w:lvlJc w:val="left"/>
      <w:pPr>
        <w:tabs>
          <w:tab w:val="num" w:pos="5760"/>
        </w:tabs>
        <w:ind w:left="5760" w:hanging="360"/>
      </w:pPr>
      <w:rPr>
        <w:rFonts w:ascii="Wingdings" w:hAnsi="Wingdings" w:hint="default"/>
        <w:sz w:val="20"/>
      </w:rPr>
    </w:lvl>
    <w:lvl w:ilvl="6">
      <w:start w:val="1"/>
      <w:numFmt w:val="bullet"/>
      <w:lvlText w:val=""/>
      <w:lvlJc w:val="left"/>
      <w:pPr>
        <w:tabs>
          <w:tab w:val="num" w:pos="6480"/>
        </w:tabs>
        <w:ind w:left="6480" w:hanging="360"/>
      </w:pPr>
      <w:rPr>
        <w:rFonts w:ascii="Wingdings" w:hAnsi="Wingdings" w:hint="default"/>
        <w:sz w:val="20"/>
      </w:rPr>
    </w:lvl>
    <w:lvl w:ilvl="7">
      <w:start w:val="1"/>
      <w:numFmt w:val="bullet"/>
      <w:lvlText w:val=""/>
      <w:lvlJc w:val="left"/>
      <w:pPr>
        <w:tabs>
          <w:tab w:val="num" w:pos="7200"/>
        </w:tabs>
        <w:ind w:left="7200" w:hanging="360"/>
      </w:pPr>
      <w:rPr>
        <w:rFonts w:ascii="Wingdings" w:hAnsi="Wingdings" w:hint="default"/>
        <w:sz w:val="20"/>
      </w:rPr>
    </w:lvl>
    <w:lvl w:ilvl="8">
      <w:start w:val="1"/>
      <w:numFmt w:val="bullet"/>
      <w:lvlText w:val=""/>
      <w:lvlJc w:val="left"/>
      <w:pPr>
        <w:tabs>
          <w:tab w:val="num" w:pos="7920"/>
        </w:tabs>
        <w:ind w:left="7920" w:hanging="360"/>
      </w:pPr>
      <w:rPr>
        <w:rFonts w:ascii="Wingdings" w:hAnsi="Wingdings" w:hint="default"/>
        <w:sz w:val="20"/>
      </w:rPr>
    </w:lvl>
  </w:abstractNum>
  <w:abstractNum w:abstractNumId="13" w15:restartNumberingAfterBreak="0">
    <w:nsid w:val="5DC814D2"/>
    <w:multiLevelType w:val="hybridMultilevel"/>
    <w:tmpl w:val="FE0CB4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5FE8230B"/>
    <w:multiLevelType w:val="hybridMultilevel"/>
    <w:tmpl w:val="38A8D9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69146694"/>
    <w:multiLevelType w:val="hybridMultilevel"/>
    <w:tmpl w:val="827AF1E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15:restartNumberingAfterBreak="0">
    <w:nsid w:val="69FA7756"/>
    <w:multiLevelType w:val="hybridMultilevel"/>
    <w:tmpl w:val="A39043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7B412F0B"/>
    <w:multiLevelType w:val="hybridMultilevel"/>
    <w:tmpl w:val="C4B4E6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7BD74741"/>
    <w:multiLevelType w:val="hybridMultilevel"/>
    <w:tmpl w:val="90A0B6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7C202EC8"/>
    <w:multiLevelType w:val="multilevel"/>
    <w:tmpl w:val="F892C4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8"/>
  </w:num>
  <w:num w:numId="3">
    <w:abstractNumId w:val="1"/>
  </w:num>
  <w:num w:numId="4">
    <w:abstractNumId w:val="0"/>
  </w:num>
  <w:num w:numId="5">
    <w:abstractNumId w:val="7"/>
  </w:num>
  <w:num w:numId="6">
    <w:abstractNumId w:val="4"/>
  </w:num>
  <w:num w:numId="7">
    <w:abstractNumId w:val="6"/>
  </w:num>
  <w:num w:numId="8">
    <w:abstractNumId w:val="9"/>
  </w:num>
  <w:num w:numId="9">
    <w:abstractNumId w:val="17"/>
  </w:num>
  <w:num w:numId="10">
    <w:abstractNumId w:val="14"/>
  </w:num>
  <w:num w:numId="11">
    <w:abstractNumId w:val="15"/>
  </w:num>
  <w:num w:numId="12">
    <w:abstractNumId w:val="19"/>
  </w:num>
  <w:num w:numId="13">
    <w:abstractNumId w:val="12"/>
  </w:num>
  <w:num w:numId="14">
    <w:abstractNumId w:val="12"/>
  </w:num>
  <w:num w:numId="15">
    <w:abstractNumId w:val="5"/>
  </w:num>
  <w:num w:numId="16">
    <w:abstractNumId w:val="3"/>
  </w:num>
  <w:num w:numId="17">
    <w:abstractNumId w:val="13"/>
  </w:num>
  <w:num w:numId="18">
    <w:abstractNumId w:val="18"/>
  </w:num>
  <w:num w:numId="19">
    <w:abstractNumId w:val="10"/>
  </w:num>
  <w:num w:numId="20">
    <w:abstractNumId w:val="1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8FB"/>
    <w:rsid w:val="00064D05"/>
    <w:rsid w:val="00080533"/>
    <w:rsid w:val="000F6749"/>
    <w:rsid w:val="001004E4"/>
    <w:rsid w:val="00117651"/>
    <w:rsid w:val="001D3FD4"/>
    <w:rsid w:val="003358FB"/>
    <w:rsid w:val="00452342"/>
    <w:rsid w:val="005A6ED4"/>
    <w:rsid w:val="005C3EBA"/>
    <w:rsid w:val="00690B4D"/>
    <w:rsid w:val="006F1D0B"/>
    <w:rsid w:val="007015B2"/>
    <w:rsid w:val="00717D02"/>
    <w:rsid w:val="00746265"/>
    <w:rsid w:val="007F3991"/>
    <w:rsid w:val="008D0BE5"/>
    <w:rsid w:val="00920F78"/>
    <w:rsid w:val="009346B8"/>
    <w:rsid w:val="00A70590"/>
    <w:rsid w:val="00B159DF"/>
    <w:rsid w:val="00B25270"/>
    <w:rsid w:val="00BE35A2"/>
    <w:rsid w:val="00C11E01"/>
    <w:rsid w:val="00C367C0"/>
    <w:rsid w:val="00C9334A"/>
    <w:rsid w:val="00C93BFC"/>
    <w:rsid w:val="00CE237C"/>
    <w:rsid w:val="00D93722"/>
    <w:rsid w:val="00DA27CA"/>
    <w:rsid w:val="00DA2F95"/>
    <w:rsid w:val="00E32E84"/>
    <w:rsid w:val="00E7428C"/>
    <w:rsid w:val="00EE24DC"/>
    <w:rsid w:val="00F047E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EFC91"/>
  <w15:chartTrackingRefBased/>
  <w15:docId w15:val="{99F0FF17-B5BE-4AF3-A8EE-6F1FEA8AD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58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58FB"/>
    <w:pPr>
      <w:spacing w:after="0" w:line="240" w:lineRule="auto"/>
    </w:pPr>
  </w:style>
  <w:style w:type="paragraph" w:styleId="ListParagraph">
    <w:name w:val="List Paragraph"/>
    <w:basedOn w:val="Normal"/>
    <w:uiPriority w:val="34"/>
    <w:qFormat/>
    <w:rsid w:val="003358FB"/>
    <w:pPr>
      <w:ind w:left="720"/>
      <w:contextualSpacing/>
    </w:pPr>
  </w:style>
  <w:style w:type="character" w:styleId="CommentReference">
    <w:name w:val="annotation reference"/>
    <w:basedOn w:val="DefaultParagraphFont"/>
    <w:uiPriority w:val="99"/>
    <w:semiHidden/>
    <w:unhideWhenUsed/>
    <w:rsid w:val="003358FB"/>
    <w:rPr>
      <w:sz w:val="16"/>
      <w:szCs w:val="16"/>
    </w:rPr>
  </w:style>
  <w:style w:type="paragraph" w:styleId="CommentText">
    <w:name w:val="annotation text"/>
    <w:basedOn w:val="Normal"/>
    <w:link w:val="CommentTextChar"/>
    <w:uiPriority w:val="99"/>
    <w:semiHidden/>
    <w:unhideWhenUsed/>
    <w:rsid w:val="003358FB"/>
    <w:pPr>
      <w:spacing w:line="240" w:lineRule="auto"/>
    </w:pPr>
    <w:rPr>
      <w:sz w:val="20"/>
      <w:szCs w:val="20"/>
    </w:rPr>
  </w:style>
  <w:style w:type="character" w:customStyle="1" w:styleId="CommentTextChar">
    <w:name w:val="Comment Text Char"/>
    <w:basedOn w:val="DefaultParagraphFont"/>
    <w:link w:val="CommentText"/>
    <w:uiPriority w:val="99"/>
    <w:semiHidden/>
    <w:rsid w:val="003358FB"/>
    <w:rPr>
      <w:sz w:val="20"/>
      <w:szCs w:val="20"/>
    </w:rPr>
  </w:style>
  <w:style w:type="character" w:styleId="Hyperlink">
    <w:name w:val="Hyperlink"/>
    <w:basedOn w:val="DefaultParagraphFont"/>
    <w:uiPriority w:val="99"/>
    <w:unhideWhenUsed/>
    <w:rsid w:val="003358FB"/>
    <w:rPr>
      <w:color w:val="0563C1" w:themeColor="hyperlink"/>
      <w:u w:val="single"/>
    </w:rPr>
  </w:style>
  <w:style w:type="paragraph" w:styleId="BalloonText">
    <w:name w:val="Balloon Text"/>
    <w:basedOn w:val="Normal"/>
    <w:link w:val="BalloonTextChar"/>
    <w:uiPriority w:val="99"/>
    <w:semiHidden/>
    <w:unhideWhenUsed/>
    <w:rsid w:val="003358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8FB"/>
    <w:rPr>
      <w:rFonts w:ascii="Segoe UI" w:hAnsi="Segoe UI" w:cs="Segoe UI"/>
      <w:sz w:val="18"/>
      <w:szCs w:val="18"/>
    </w:rPr>
  </w:style>
  <w:style w:type="table" w:styleId="TableGrid">
    <w:name w:val="Table Grid"/>
    <w:basedOn w:val="TableNormal"/>
    <w:uiPriority w:val="39"/>
    <w:rsid w:val="00064D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64D05"/>
    <w:pPr>
      <w:autoSpaceDE w:val="0"/>
      <w:autoSpaceDN w:val="0"/>
      <w:adjustRightInd w:val="0"/>
      <w:spacing w:after="0" w:line="240" w:lineRule="auto"/>
    </w:pPr>
    <w:rPr>
      <w:rFonts w:ascii="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A70590"/>
    <w:rPr>
      <w:b/>
      <w:bCs/>
    </w:rPr>
  </w:style>
  <w:style w:type="character" w:customStyle="1" w:styleId="CommentSubjectChar">
    <w:name w:val="Comment Subject Char"/>
    <w:basedOn w:val="CommentTextChar"/>
    <w:link w:val="CommentSubject"/>
    <w:uiPriority w:val="99"/>
    <w:semiHidden/>
    <w:rsid w:val="00A70590"/>
    <w:rPr>
      <w:b/>
      <w:bCs/>
      <w:sz w:val="20"/>
      <w:szCs w:val="20"/>
    </w:rPr>
  </w:style>
  <w:style w:type="character" w:styleId="UnresolvedMention">
    <w:name w:val="Unresolved Mention"/>
    <w:basedOn w:val="DefaultParagraphFont"/>
    <w:uiPriority w:val="99"/>
    <w:semiHidden/>
    <w:unhideWhenUsed/>
    <w:rsid w:val="008D0B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5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tion@krra.org.za" TargetMode="External"/><Relationship Id="rId3" Type="http://schemas.openxmlformats.org/officeDocument/2006/relationships/settings" Target="settings.xml"/><Relationship Id="rId7" Type="http://schemas.openxmlformats.org/officeDocument/2006/relationships/hyperlink" Target="http://www.krra.org.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tion@krr.org.za"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ibongile.gambu@gauteng.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1328</Words>
  <Characters>7572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Reddy, Stanton</cp:lastModifiedBy>
  <cp:revision>6</cp:revision>
  <dcterms:created xsi:type="dcterms:W3CDTF">2017-08-11T13:45:00Z</dcterms:created>
  <dcterms:modified xsi:type="dcterms:W3CDTF">2017-08-11T14:03:00Z</dcterms:modified>
</cp:coreProperties>
</file>